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media/image1.jpeg" ContentType="image/jpeg"/>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Bodytext22"/>
        <w:tabs>
          <w:tab w:val="clear" w:pos="709"/>
          <w:tab w:val="left" w:pos="7045" w:leader="underscore"/>
        </w:tabs>
        <w:spacing w:lineRule="auto" w:line="240" w:before="120" w:after="0"/>
        <w:jc w:val="right"/>
        <w:rPr>
          <w:rFonts w:cs="Calibri"/>
          <w:i/>
          <w:i/>
          <w:sz w:val="26"/>
          <w:szCs w:val="26"/>
          <w:lang w:val="ro-RO"/>
        </w:rPr>
      </w:pPr>
      <w:r>
        <w:rPr>
          <w:rFonts w:cs="Calibri"/>
          <w:i/>
          <w:sz w:val="26"/>
          <w:szCs w:val="26"/>
        </w:rPr>
        <w:t xml:space="preserve">Anexa nr. </w:t>
      </w:r>
      <w:r>
        <w:rPr>
          <w:rFonts w:cs="Calibri"/>
          <w:i/>
          <w:sz w:val="26"/>
          <w:szCs w:val="26"/>
          <w:lang w:val="ro-RO"/>
        </w:rPr>
        <w:t>1</w:t>
      </w:r>
      <w:r>
        <w:rPr>
          <w:rFonts w:cs="Calibri"/>
          <w:i/>
          <w:sz w:val="26"/>
          <w:szCs w:val="26"/>
        </w:rPr>
        <w:t xml:space="preserve"> la </w:t>
      </w:r>
      <w:r>
        <w:rPr>
          <w:rFonts w:cs="Calibri"/>
          <w:i/>
          <w:sz w:val="26"/>
          <w:szCs w:val="26"/>
          <w:lang w:val="ro-RO"/>
        </w:rPr>
        <w:t>Cererea de aderare ca</w:t>
      </w:r>
      <w:r>
        <w:rPr>
          <w:rFonts w:cs="Calibri"/>
          <w:i/>
          <w:sz w:val="26"/>
          <w:szCs w:val="26"/>
        </w:rPr>
        <w:t xml:space="preserve"> membru </w:t>
      </w:r>
      <w:r>
        <w:rPr>
          <w:rFonts w:cs="Calibri"/>
          <w:i/>
          <w:sz w:val="26"/>
          <w:szCs w:val="26"/>
          <w:lang w:val="en-US"/>
        </w:rPr>
        <w:t>al</w:t>
      </w:r>
      <w:r>
        <w:rPr>
          <w:rFonts w:cs="Calibri"/>
          <w:i/>
          <w:sz w:val="26"/>
          <w:szCs w:val="26"/>
        </w:rPr>
        <w:t xml:space="preserve"> C.C.I.A</w:t>
      </w:r>
      <w:r>
        <w:rPr>
          <w:rFonts w:cs="Calibri"/>
          <w:i/>
          <w:sz w:val="26"/>
          <w:szCs w:val="26"/>
          <w:lang w:val="ro-RO"/>
        </w:rPr>
        <w:t>.</w:t>
      </w:r>
      <w:r>
        <w:rPr>
          <w:rFonts w:cs="Calibri"/>
          <w:i/>
          <w:sz w:val="26"/>
          <w:szCs w:val="26"/>
        </w:rPr>
        <w:t xml:space="preserve"> Brăila</w:t>
      </w:r>
    </w:p>
    <w:p>
      <w:pPr>
        <w:pStyle w:val="Normal"/>
        <w:widowControl w:val="false"/>
        <w:tabs>
          <w:tab w:val="clear" w:pos="709"/>
          <w:tab w:val="left" w:pos="358" w:leader="none"/>
        </w:tabs>
        <w:jc w:val="center"/>
        <w:rPr>
          <w:rFonts w:ascii="Calibri" w:hAnsi="Calibri" w:cs="Calibri"/>
          <w:b/>
          <w:b/>
          <w:i/>
          <w:i/>
          <w:sz w:val="26"/>
          <w:szCs w:val="26"/>
          <w:lang w:val="es-ES" w:eastAsia="es-ES" w:bidi="es-ES"/>
        </w:rPr>
      </w:pPr>
      <w:r>
        <w:rPr>
          <w:rFonts w:cs="Calibri" w:ascii="Calibri" w:hAnsi="Calibri"/>
          <w:b/>
          <w:i/>
          <w:sz w:val="26"/>
          <w:szCs w:val="26"/>
          <w:lang w:val="es-ES" w:eastAsia="es-ES" w:bidi="es-ES"/>
        </w:rPr>
      </w:r>
    </w:p>
    <w:p>
      <w:pPr>
        <w:pStyle w:val="Normal"/>
        <w:jc w:val="center"/>
        <w:rPr>
          <w:rFonts w:ascii="Calibri" w:hAnsi="Calibri" w:eastAsia="Calibri" w:cs="Calibri"/>
          <w:b/>
          <w:b/>
          <w:lang w:val="es-ES" w:eastAsia="es-ES" w:bidi="es-ES"/>
        </w:rPr>
      </w:pPr>
      <w:r>
        <w:rPr>
          <w:rFonts w:eastAsia="Calibri" w:cs="Calibri" w:ascii="Calibri" w:hAnsi="Calibri"/>
          <w:b/>
          <w:lang w:val="es-ES" w:eastAsia="es-ES" w:bidi="es-ES"/>
        </w:rPr>
      </w:r>
    </w:p>
    <w:p>
      <w:pPr>
        <w:pStyle w:val="Normal"/>
        <w:jc w:val="center"/>
        <w:rPr>
          <w:rFonts w:ascii="Calibri" w:hAnsi="Calibri" w:eastAsia="Calibri" w:cs="Calibri"/>
          <w:b/>
          <w:b/>
          <w:sz w:val="26"/>
          <w:szCs w:val="26"/>
        </w:rPr>
      </w:pPr>
      <w:r>
        <w:rPr>
          <w:rFonts w:eastAsia="Calibri" w:cs="Calibri" w:ascii="Calibri" w:hAnsi="Calibri"/>
          <w:b/>
          <w:sz w:val="26"/>
          <w:szCs w:val="26"/>
        </w:rPr>
        <w:t>NIVELE DE COTIZAŢIE ȘI PACHETE DE SERVICII AFERENTE</w:t>
      </w:r>
    </w:p>
    <w:p>
      <w:pPr>
        <w:pStyle w:val="Normal"/>
        <w:jc w:val="both"/>
        <w:rPr>
          <w:rFonts w:ascii="Calibri" w:hAnsi="Calibri" w:eastAsia="Calibri" w:cs="Calibri"/>
          <w:b/>
          <w:b/>
          <w:sz w:val="26"/>
          <w:szCs w:val="26"/>
        </w:rPr>
      </w:pPr>
      <w:r>
        <w:rPr>
          <w:rFonts w:eastAsia="Calibri" w:cs="Calibri" w:ascii="Calibri" w:hAnsi="Calibri"/>
          <w:b/>
          <w:sz w:val="26"/>
          <w:szCs w:val="26"/>
        </w:rPr>
      </w:r>
    </w:p>
    <w:p>
      <w:pPr>
        <w:pStyle w:val="Normal"/>
        <w:spacing w:before="0" w:after="120"/>
        <w:jc w:val="both"/>
        <w:rPr/>
      </w:pPr>
      <w:r>
        <w:rPr>
          <w:rFonts w:eastAsia="Calibri" w:cs="Calibri" w:ascii="Calibri" w:hAnsi="Calibri"/>
          <w:sz w:val="26"/>
          <w:szCs w:val="26"/>
        </w:rPr>
        <w:t>Cotizaţia anuală a membrilor Camerei de Comerţ, Industrie și Agricultură Brăila se stabileşte și actualizează conform art. 21, alin. 12 din Statutul C.C.I.A. Brăila, în raport cu cifra de afaceri a anului precedent, cu încadrarea într-unul din cele 6 paliere.</w:t>
      </w:r>
    </w:p>
    <w:p>
      <w:pPr>
        <w:pStyle w:val="Normal"/>
        <w:jc w:val="both"/>
        <w:rPr/>
      </w:pPr>
      <w:r>
        <w:rPr>
          <w:rFonts w:eastAsia="Calibri" w:cs="Calibri" w:ascii="Calibri" w:hAnsi="Calibri"/>
          <w:sz w:val="26"/>
          <w:szCs w:val="26"/>
        </w:rPr>
        <w:t>Facilitățile acordate membrilor Camerei se regăsesc în Ghidul Serviciilor, parte integrantă din Regulamentul de Organizare și Funcționare.</w:t>
      </w:r>
    </w:p>
    <w:p>
      <w:pPr>
        <w:pStyle w:val="Normal"/>
        <w:jc w:val="both"/>
        <w:rPr>
          <w:rFonts w:ascii="Calibri" w:hAnsi="Calibri" w:eastAsia="Calibri" w:cs="Calibri"/>
          <w:sz w:val="26"/>
          <w:szCs w:val="26"/>
        </w:rPr>
      </w:pPr>
      <w:r>
        <w:rPr>
          <w:rFonts w:eastAsia="Calibri" w:cs="Calibri" w:ascii="Calibri" w:hAnsi="Calibri"/>
          <w:sz w:val="26"/>
          <w:szCs w:val="26"/>
        </w:rPr>
      </w:r>
    </w:p>
    <w:p>
      <w:pPr>
        <w:pStyle w:val="Normal"/>
        <w:jc w:val="both"/>
        <w:rPr/>
      </w:pPr>
      <w:r>
        <w:rPr>
          <w:rFonts w:eastAsia="Calibri" w:cs="Calibri" w:ascii="Calibri" w:hAnsi="Calibri"/>
          <w:b/>
          <w:sz w:val="26"/>
          <w:szCs w:val="26"/>
        </w:rPr>
        <w:t>Taxă de înscriere</w:t>
      </w:r>
      <w:r>
        <w:rPr>
          <w:rFonts w:eastAsia="Calibri" w:cs="Calibri" w:ascii="Calibri" w:hAnsi="Calibri"/>
          <w:b/>
          <w:sz w:val="26"/>
          <w:szCs w:val="26"/>
          <w:lang w:val="en-US"/>
        </w:rPr>
        <w:t xml:space="preserve">: </w:t>
      </w:r>
      <w:r>
        <w:rPr>
          <w:rFonts w:eastAsia="Calibri" w:cs="Calibri" w:ascii="Calibri" w:hAnsi="Calibri"/>
          <w:b/>
          <w:sz w:val="26"/>
          <w:szCs w:val="26"/>
        </w:rPr>
        <w:t>100 lei</w:t>
      </w:r>
    </w:p>
    <w:p>
      <w:pPr>
        <w:pStyle w:val="Normal"/>
        <w:jc w:val="both"/>
        <w:rPr>
          <w:rStyle w:val="Bodytext2Bold"/>
          <w:rFonts w:ascii="Calibri" w:hAnsi="Calibri" w:cs="Calibri"/>
          <w:color w:val="000000"/>
        </w:rPr>
      </w:pPr>
      <w:r>
        <w:rPr>
          <w:rFonts w:eastAsia="Calibri" w:cs="Calibri" w:ascii="Calibri" w:hAnsi="Calibri"/>
          <w:b/>
          <w:sz w:val="26"/>
          <w:szCs w:val="26"/>
        </w:rPr>
      </w:r>
    </w:p>
    <w:tbl>
      <w:tblPr>
        <w:tblW w:w="9422" w:type="dxa"/>
        <w:jc w:val="center"/>
        <w:tblInd w:w="0" w:type="dxa"/>
        <w:tblCellMar>
          <w:top w:w="0" w:type="dxa"/>
          <w:left w:w="108" w:type="dxa"/>
          <w:bottom w:w="0" w:type="dxa"/>
          <w:right w:w="108" w:type="dxa"/>
        </w:tblCellMar>
      </w:tblPr>
      <w:tblGrid>
        <w:gridCol w:w="5558"/>
        <w:gridCol w:w="3864"/>
      </w:tblGrid>
      <w:tr>
        <w:trPr>
          <w:trHeight w:val="340" w:hRule="atLeast"/>
        </w:trPr>
        <w:tc>
          <w:tcPr>
            <w:tcW w:w="5558" w:type="dxa"/>
            <w:tcBorders>
              <w:top w:val="single" w:sz="4" w:space="0" w:color="000000"/>
              <w:left w:val="single" w:sz="4" w:space="0" w:color="000000"/>
              <w:bottom w:val="single" w:sz="4" w:space="0" w:color="000000"/>
            </w:tcBorders>
          </w:tcPr>
          <w:p>
            <w:pPr>
              <w:pStyle w:val="Normal"/>
              <w:jc w:val="center"/>
              <w:rPr>
                <w:rStyle w:val="Bodytext2Bold"/>
                <w:rFonts w:ascii="Calibri" w:hAnsi="Calibri" w:cs="Calibri"/>
                <w:color w:val="000000"/>
                <w:sz w:val="26"/>
                <w:szCs w:val="26"/>
              </w:rPr>
            </w:pPr>
            <w:r>
              <w:rPr>
                <w:rFonts w:cs="Calibri" w:ascii="Calibri" w:hAnsi="Calibri"/>
                <w:b/>
                <w:bCs/>
                <w:sz w:val="26"/>
                <w:szCs w:val="26"/>
              </w:rPr>
              <w:t>Palierul cifrei de afaceri</w:t>
            </w:r>
          </w:p>
        </w:tc>
        <w:tc>
          <w:tcPr>
            <w:tcW w:w="3864" w:type="dxa"/>
            <w:tcBorders>
              <w:top w:val="single" w:sz="4" w:space="0" w:color="000000"/>
              <w:left w:val="single" w:sz="4" w:space="0" w:color="000000"/>
              <w:bottom w:val="single" w:sz="4" w:space="0" w:color="000000"/>
              <w:right w:val="single" w:sz="4" w:space="0" w:color="000000"/>
            </w:tcBorders>
          </w:tcPr>
          <w:p>
            <w:pPr>
              <w:pStyle w:val="Normal"/>
              <w:jc w:val="center"/>
              <w:rPr>
                <w:rStyle w:val="Bodytext2Bold"/>
                <w:rFonts w:ascii="Calibri" w:hAnsi="Calibri" w:cs="Calibri"/>
                <w:color w:val="000000"/>
                <w:sz w:val="26"/>
                <w:szCs w:val="26"/>
              </w:rPr>
            </w:pPr>
            <w:r>
              <w:rPr>
                <w:rFonts w:cs="Calibri" w:ascii="Calibri" w:hAnsi="Calibri"/>
                <w:b/>
                <w:bCs/>
                <w:sz w:val="26"/>
                <w:szCs w:val="26"/>
              </w:rPr>
              <w:t>Cuantumul minim al cotizaţiei</w:t>
            </w:r>
            <w:r>
              <w:rPr>
                <w:rStyle w:val="FootnoteAnchor"/>
                <w:rFonts w:cs="Calibri" w:ascii="Calibri" w:hAnsi="Calibri"/>
                <w:b/>
                <w:bCs/>
                <w:sz w:val="26"/>
                <w:szCs w:val="26"/>
                <w:vertAlign w:val="superscript"/>
              </w:rPr>
              <w:footnoteReference w:id="2"/>
            </w:r>
          </w:p>
        </w:tc>
      </w:tr>
      <w:tr>
        <w:trPr>
          <w:trHeight w:val="340" w:hRule="atLeast"/>
        </w:trPr>
        <w:tc>
          <w:tcPr>
            <w:tcW w:w="5558" w:type="dxa"/>
            <w:tcBorders>
              <w:top w:val="single" w:sz="4" w:space="0" w:color="000000"/>
              <w:left w:val="single" w:sz="4" w:space="0" w:color="000000"/>
              <w:bottom w:val="single" w:sz="4" w:space="0" w:color="000000"/>
            </w:tcBorders>
          </w:tcPr>
          <w:p>
            <w:pPr>
              <w:pStyle w:val="Normal"/>
              <w:tabs>
                <w:tab w:val="clear" w:pos="709"/>
                <w:tab w:val="right" w:pos="7848" w:leader="none"/>
                <w:tab w:val="right" w:pos="8051" w:leader="none"/>
              </w:tabs>
              <w:rPr>
                <w:rStyle w:val="Tableofcontents"/>
                <w:rFonts w:ascii="Calibri" w:hAnsi="Calibri" w:cs="Calibri"/>
                <w:bCs w:val="false"/>
                <w:color w:val="000000"/>
                <w:sz w:val="26"/>
                <w:szCs w:val="26"/>
              </w:rPr>
            </w:pPr>
            <w:r>
              <w:rPr>
                <w:rStyle w:val="Tableofcontents"/>
                <w:rFonts w:cs="Calibri" w:ascii="Calibri" w:hAnsi="Calibri"/>
                <w:bCs w:val="false"/>
                <w:color w:val="000000"/>
                <w:sz w:val="26"/>
                <w:szCs w:val="26"/>
              </w:rPr>
              <w:t>Până la 250.000 lei și firme aparținând unui grup</w:t>
            </w:r>
          </w:p>
        </w:tc>
        <w:tc>
          <w:tcPr>
            <w:tcW w:w="3864" w:type="dxa"/>
            <w:tcBorders>
              <w:top w:val="single" w:sz="4" w:space="0" w:color="000000"/>
              <w:left w:val="single" w:sz="4" w:space="0" w:color="000000"/>
              <w:bottom w:val="single" w:sz="4" w:space="0" w:color="000000"/>
              <w:right w:val="single" w:sz="4" w:space="0" w:color="000000"/>
            </w:tcBorders>
          </w:tcPr>
          <w:p>
            <w:pPr>
              <w:pStyle w:val="Normal"/>
              <w:jc w:val="center"/>
              <w:rPr>
                <w:rStyle w:val="Tableofcontents"/>
                <w:rFonts w:ascii="Calibri" w:hAnsi="Calibri" w:cs="Calibri"/>
                <w:bCs w:val="false"/>
                <w:color w:val="000000"/>
                <w:sz w:val="26"/>
                <w:szCs w:val="26"/>
              </w:rPr>
            </w:pPr>
            <w:r>
              <w:rPr>
                <w:rStyle w:val="Tableofcontents"/>
                <w:rFonts w:cs="Calibri" w:ascii="Calibri" w:hAnsi="Calibri"/>
                <w:bCs w:val="false"/>
                <w:color w:val="000000"/>
                <w:sz w:val="26"/>
                <w:szCs w:val="26"/>
              </w:rPr>
              <w:t>200 lei</w:t>
            </w:r>
          </w:p>
        </w:tc>
      </w:tr>
      <w:tr>
        <w:trPr>
          <w:trHeight w:val="340" w:hRule="atLeast"/>
        </w:trPr>
        <w:tc>
          <w:tcPr>
            <w:tcW w:w="5558" w:type="dxa"/>
            <w:tcBorders>
              <w:top w:val="single" w:sz="4" w:space="0" w:color="000000"/>
              <w:left w:val="single" w:sz="4" w:space="0" w:color="000000"/>
              <w:bottom w:val="single" w:sz="4" w:space="0" w:color="000000"/>
            </w:tcBorders>
          </w:tcPr>
          <w:p>
            <w:pPr>
              <w:pStyle w:val="Normal"/>
              <w:tabs>
                <w:tab w:val="clear" w:pos="709"/>
                <w:tab w:val="right" w:pos="7848" w:leader="none"/>
                <w:tab w:val="right" w:pos="8051" w:leader="none"/>
              </w:tabs>
              <w:rPr>
                <w:rStyle w:val="Bodytext2Bold"/>
                <w:rFonts w:ascii="Calibri" w:hAnsi="Calibri" w:eastAsia="Times New Roman" w:cs="Calibri"/>
                <w:bCs w:val="false"/>
                <w:color w:val="000000"/>
                <w:sz w:val="26"/>
                <w:szCs w:val="26"/>
                <w:lang w:eastAsia="en-US" w:bidi="ar-SA"/>
              </w:rPr>
            </w:pPr>
            <w:r>
              <w:rPr>
                <w:rStyle w:val="Tableofcontents"/>
                <w:rFonts w:cs="Calibri" w:ascii="Calibri" w:hAnsi="Calibri"/>
                <w:bCs w:val="false"/>
                <w:color w:val="000000"/>
                <w:sz w:val="26"/>
                <w:szCs w:val="26"/>
              </w:rPr>
              <w:t>De la 250.001 lei la 500.000 lei</w:t>
            </w:r>
          </w:p>
        </w:tc>
        <w:tc>
          <w:tcPr>
            <w:tcW w:w="3864" w:type="dxa"/>
            <w:tcBorders>
              <w:top w:val="single" w:sz="4" w:space="0" w:color="000000"/>
              <w:left w:val="single" w:sz="4" w:space="0" w:color="000000"/>
              <w:bottom w:val="single" w:sz="4" w:space="0" w:color="000000"/>
              <w:right w:val="single" w:sz="4" w:space="0" w:color="000000"/>
            </w:tcBorders>
          </w:tcPr>
          <w:p>
            <w:pPr>
              <w:pStyle w:val="Normal"/>
              <w:jc w:val="center"/>
              <w:rPr>
                <w:rStyle w:val="Bodytext2Bold"/>
                <w:rFonts w:ascii="Calibri" w:hAnsi="Calibri" w:cs="Calibri"/>
                <w:color w:val="000000"/>
                <w:sz w:val="26"/>
                <w:szCs w:val="26"/>
              </w:rPr>
            </w:pPr>
            <w:r>
              <w:rPr>
                <w:rStyle w:val="Tableofcontents"/>
                <w:rFonts w:cs="Calibri" w:ascii="Calibri" w:hAnsi="Calibri"/>
                <w:bCs w:val="false"/>
                <w:color w:val="000000"/>
                <w:sz w:val="26"/>
                <w:szCs w:val="26"/>
              </w:rPr>
              <w:t>350 lei</w:t>
            </w:r>
          </w:p>
        </w:tc>
      </w:tr>
      <w:tr>
        <w:trPr>
          <w:trHeight w:val="340" w:hRule="atLeast"/>
        </w:trPr>
        <w:tc>
          <w:tcPr>
            <w:tcW w:w="5558" w:type="dxa"/>
            <w:tcBorders>
              <w:top w:val="single" w:sz="4" w:space="0" w:color="000000"/>
              <w:left w:val="single" w:sz="4" w:space="0" w:color="000000"/>
              <w:bottom w:val="single" w:sz="4" w:space="0" w:color="000000"/>
            </w:tcBorders>
          </w:tcPr>
          <w:p>
            <w:pPr>
              <w:pStyle w:val="Normal"/>
              <w:jc w:val="both"/>
              <w:rPr>
                <w:rStyle w:val="Bodytext2Bold"/>
                <w:rFonts w:ascii="Calibri" w:hAnsi="Calibri" w:cs="Calibri"/>
                <w:color w:val="000000"/>
                <w:sz w:val="26"/>
                <w:szCs w:val="26"/>
              </w:rPr>
            </w:pPr>
            <w:r>
              <w:rPr>
                <w:rStyle w:val="Tableofcontents"/>
                <w:rFonts w:cs="Calibri" w:ascii="Calibri" w:hAnsi="Calibri"/>
                <w:bCs w:val="false"/>
                <w:color w:val="000000"/>
                <w:sz w:val="26"/>
                <w:szCs w:val="26"/>
              </w:rPr>
              <w:t>De la 500.001 lei la 750.000 lei</w:t>
            </w:r>
          </w:p>
        </w:tc>
        <w:tc>
          <w:tcPr>
            <w:tcW w:w="3864" w:type="dxa"/>
            <w:tcBorders>
              <w:top w:val="single" w:sz="4" w:space="0" w:color="000000"/>
              <w:left w:val="single" w:sz="4" w:space="0" w:color="000000"/>
              <w:bottom w:val="single" w:sz="4" w:space="0" w:color="000000"/>
              <w:right w:val="single" w:sz="4" w:space="0" w:color="000000"/>
            </w:tcBorders>
          </w:tcPr>
          <w:p>
            <w:pPr>
              <w:pStyle w:val="Normal"/>
              <w:jc w:val="center"/>
              <w:rPr/>
            </w:pPr>
            <w:r>
              <w:rPr>
                <w:rStyle w:val="Bodytext2Bold"/>
                <w:rFonts w:cs="Calibri" w:ascii="Calibri" w:hAnsi="Calibri"/>
                <w:color w:val="000000"/>
                <w:sz w:val="26"/>
                <w:szCs w:val="26"/>
              </w:rPr>
              <w:t>500 lei</w:t>
            </w:r>
          </w:p>
        </w:tc>
      </w:tr>
      <w:tr>
        <w:trPr>
          <w:trHeight w:val="340" w:hRule="atLeast"/>
        </w:trPr>
        <w:tc>
          <w:tcPr>
            <w:tcW w:w="5558" w:type="dxa"/>
            <w:tcBorders>
              <w:top w:val="single" w:sz="4" w:space="0" w:color="000000"/>
              <w:left w:val="single" w:sz="4" w:space="0" w:color="000000"/>
              <w:bottom w:val="single" w:sz="4" w:space="0" w:color="000000"/>
            </w:tcBorders>
          </w:tcPr>
          <w:sdt>
            <w:sdtPr>
              <w:docPartObj>
                <w:docPartGallery w:val="Table of Contents"/>
                <w:docPartUnique w:val="true"/>
              </w:docPartObj>
            </w:sdtPr>
            <w:sdtContent>
              <w:p>
                <w:pPr>
                  <w:pStyle w:val="Normal"/>
                  <w:tabs>
                    <w:tab w:val="clear" w:pos="709"/>
                    <w:tab w:val="right" w:pos="7848" w:leader="none"/>
                    <w:tab w:val="right" w:pos="8046" w:leader="none"/>
                  </w:tabs>
                  <w:snapToGrid w:val="false"/>
                  <w:rPr/>
                </w:pPr>
                <w:r>
                  <w:fldChar w:fldCharType="begin"/>
                </w:r>
                <w:r>
                  <w:rPr>
                    <w:rStyle w:val="Tableofcontents"/>
                    <w:sz w:val="26"/>
                    <w:szCs w:val="26"/>
                    <w:bCs w:val="false"/>
                    <w:rFonts w:cs="Calibri" w:ascii="Calibri" w:hAnsi="Calibri"/>
                    <w:color w:val="000000"/>
                  </w:rPr>
                  <w:instrText> TOC \o "1-5" \h \z </w:instrText>
                </w:r>
                <w:r>
                  <w:rPr>
                    <w:rStyle w:val="Tableofcontents"/>
                    <w:sz w:val="26"/>
                    <w:szCs w:val="26"/>
                    <w:bCs w:val="false"/>
                    <w:rFonts w:cs="Calibri" w:ascii="Calibri" w:hAnsi="Calibri"/>
                    <w:color w:val="000000"/>
                  </w:rPr>
                  <w:fldChar w:fldCharType="separate"/>
                </w:r>
                <w:r>
                  <w:rPr>
                    <w:rStyle w:val="Tableofcontents"/>
                    <w:rFonts w:cs="Calibri" w:ascii="Calibri" w:hAnsi="Calibri"/>
                    <w:bCs w:val="false"/>
                    <w:color w:val="000000"/>
                    <w:sz w:val="26"/>
                    <w:szCs w:val="26"/>
                  </w:rPr>
                  <w:t>De la 750.001 lei la 1.000.000 lei</w:t>
                </w:r>
                <w:r>
                  <w:rPr>
                    <w:rStyle w:val="Tableofcontents"/>
                    <w:sz w:val="26"/>
                    <w:szCs w:val="26"/>
                    <w:bCs w:val="false"/>
                    <w:rFonts w:cs="Calibri" w:ascii="Calibri" w:hAnsi="Calibri"/>
                    <w:color w:val="000000"/>
                  </w:rPr>
                  <w:fldChar w:fldCharType="end"/>
                </w:r>
              </w:p>
            </w:sdtContent>
          </w:sdt>
          <w:p>
            <w:pPr>
              <w:pStyle w:val="Normal"/>
              <w:tabs>
                <w:tab w:val="clear" w:pos="709"/>
                <w:tab w:val="right" w:pos="7848" w:leader="none"/>
                <w:tab w:val="right" w:pos="8046" w:leader="none"/>
              </w:tabs>
              <w:rPr>
                <w:rStyle w:val="Bodytext2Bold"/>
                <w:rFonts w:ascii="Calibri" w:hAnsi="Calibri" w:eastAsia="Times New Roman" w:cs="Calibri"/>
                <w:bCs w:val="false"/>
                <w:color w:val="000000"/>
                <w:sz w:val="26"/>
                <w:szCs w:val="26"/>
                <w:lang w:eastAsia="en-US" w:bidi="ar-SA"/>
              </w:rPr>
            </w:pPr>
            <w:r>
              <w:rPr/>
            </w:r>
          </w:p>
        </w:tc>
        <w:tc>
          <w:tcPr>
            <w:tcW w:w="3864" w:type="dxa"/>
            <w:tcBorders>
              <w:top w:val="single" w:sz="4" w:space="0" w:color="000000"/>
              <w:left w:val="single" w:sz="4" w:space="0" w:color="000000"/>
              <w:bottom w:val="single" w:sz="4" w:space="0" w:color="000000"/>
              <w:right w:val="single" w:sz="4" w:space="0" w:color="000000"/>
            </w:tcBorders>
          </w:tcPr>
          <w:p>
            <w:pPr>
              <w:pStyle w:val="Normal"/>
              <w:jc w:val="center"/>
              <w:rPr>
                <w:rStyle w:val="Bodytext2Bold"/>
                <w:rFonts w:ascii="Calibri" w:hAnsi="Calibri" w:cs="Calibri"/>
                <w:color w:val="000000"/>
                <w:sz w:val="26"/>
                <w:szCs w:val="26"/>
              </w:rPr>
            </w:pPr>
            <w:r>
              <w:rPr>
                <w:rStyle w:val="Tableofcontents"/>
                <w:rFonts w:cs="Calibri" w:ascii="Calibri" w:hAnsi="Calibri"/>
                <w:bCs w:val="false"/>
                <w:color w:val="000000"/>
                <w:sz w:val="26"/>
                <w:szCs w:val="26"/>
              </w:rPr>
              <w:t>700 lei</w:t>
            </w:r>
          </w:p>
        </w:tc>
      </w:tr>
      <w:tr>
        <w:trPr>
          <w:trHeight w:val="340" w:hRule="atLeast"/>
        </w:trPr>
        <w:tc>
          <w:tcPr>
            <w:tcW w:w="5558" w:type="dxa"/>
            <w:tcBorders>
              <w:top w:val="single" w:sz="4" w:space="0" w:color="000000"/>
              <w:left w:val="single" w:sz="4" w:space="0" w:color="000000"/>
              <w:bottom w:val="single" w:sz="4" w:space="0" w:color="000000"/>
            </w:tcBorders>
          </w:tcPr>
          <w:p>
            <w:pPr>
              <w:pStyle w:val="Normal"/>
              <w:tabs>
                <w:tab w:val="clear" w:pos="709"/>
                <w:tab w:val="right" w:pos="7848" w:leader="none"/>
                <w:tab w:val="right" w:pos="8046" w:leader="none"/>
              </w:tabs>
              <w:rPr>
                <w:rStyle w:val="Bodytext2Bold"/>
                <w:rFonts w:ascii="Calibri" w:hAnsi="Calibri" w:eastAsia="Times New Roman" w:cs="Calibri"/>
                <w:bCs w:val="false"/>
                <w:color w:val="000000"/>
                <w:sz w:val="26"/>
                <w:szCs w:val="26"/>
                <w:lang w:eastAsia="en-US" w:bidi="ar-SA"/>
              </w:rPr>
            </w:pPr>
            <w:r>
              <w:rPr>
                <w:rFonts w:cs="Calibri" w:ascii="Calibri" w:hAnsi="Calibri"/>
                <w:b/>
                <w:bCs/>
                <w:sz w:val="26"/>
                <w:szCs w:val="26"/>
              </w:rPr>
              <w:t>Peste 1.000.000 lei</w:t>
            </w:r>
          </w:p>
        </w:tc>
        <w:tc>
          <w:tcPr>
            <w:tcW w:w="3864" w:type="dxa"/>
            <w:tcBorders>
              <w:top w:val="single" w:sz="4" w:space="0" w:color="000000"/>
              <w:left w:val="single" w:sz="4" w:space="0" w:color="000000"/>
              <w:bottom w:val="single" w:sz="4" w:space="0" w:color="000000"/>
              <w:right w:val="single" w:sz="4" w:space="0" w:color="000000"/>
            </w:tcBorders>
          </w:tcPr>
          <w:p>
            <w:pPr>
              <w:pStyle w:val="Normal"/>
              <w:jc w:val="center"/>
              <w:rPr>
                <w:rStyle w:val="Bodytext2Bold"/>
                <w:rFonts w:ascii="Calibri" w:hAnsi="Calibri" w:cs="Calibri"/>
                <w:color w:val="000000"/>
                <w:sz w:val="26"/>
                <w:szCs w:val="26"/>
              </w:rPr>
            </w:pPr>
            <w:r>
              <w:rPr>
                <w:rFonts w:cs="Calibri" w:ascii="Calibri" w:hAnsi="Calibri"/>
                <w:b/>
                <w:bCs/>
                <w:sz w:val="26"/>
                <w:szCs w:val="26"/>
              </w:rPr>
              <w:t>1.000 lei</w:t>
            </w:r>
          </w:p>
        </w:tc>
      </w:tr>
      <w:tr>
        <w:trPr>
          <w:trHeight w:val="340" w:hRule="atLeast"/>
        </w:trPr>
        <w:tc>
          <w:tcPr>
            <w:tcW w:w="5558" w:type="dxa"/>
            <w:tcBorders>
              <w:top w:val="single" w:sz="4" w:space="0" w:color="000000"/>
              <w:left w:val="single" w:sz="4" w:space="0" w:color="000000"/>
              <w:bottom w:val="single" w:sz="4" w:space="0" w:color="000000"/>
            </w:tcBorders>
          </w:tcPr>
          <w:p>
            <w:pPr>
              <w:pStyle w:val="Normal"/>
              <w:tabs>
                <w:tab w:val="clear" w:pos="709"/>
                <w:tab w:val="right" w:pos="7848" w:leader="none"/>
                <w:tab w:val="right" w:pos="8046" w:leader="none"/>
              </w:tabs>
              <w:rPr>
                <w:rFonts w:ascii="Calibri" w:hAnsi="Calibri" w:cs="Calibri"/>
                <w:b/>
                <w:b/>
                <w:bCs/>
                <w:sz w:val="26"/>
                <w:szCs w:val="26"/>
              </w:rPr>
            </w:pPr>
            <w:r>
              <w:rPr>
                <w:rFonts w:cs="Calibri" w:ascii="Calibri" w:hAnsi="Calibri"/>
                <w:b/>
                <w:bCs/>
                <w:sz w:val="26"/>
                <w:szCs w:val="26"/>
              </w:rPr>
              <w:t>Cotizație specială</w:t>
            </w:r>
          </w:p>
        </w:tc>
        <w:tc>
          <w:tcPr>
            <w:tcW w:w="3864" w:type="dxa"/>
            <w:tcBorders>
              <w:top w:val="single" w:sz="4" w:space="0" w:color="000000"/>
              <w:left w:val="single" w:sz="4" w:space="0" w:color="000000"/>
              <w:bottom w:val="single" w:sz="4" w:space="0" w:color="000000"/>
              <w:right w:val="single" w:sz="4" w:space="0" w:color="000000"/>
            </w:tcBorders>
          </w:tcPr>
          <w:p>
            <w:pPr>
              <w:pStyle w:val="Normal"/>
              <w:jc w:val="center"/>
              <w:rPr>
                <w:rFonts w:ascii="Calibri" w:hAnsi="Calibri" w:cs="Calibri"/>
                <w:b/>
                <w:b/>
                <w:bCs/>
                <w:sz w:val="26"/>
                <w:szCs w:val="26"/>
              </w:rPr>
            </w:pPr>
            <w:r>
              <w:rPr>
                <w:rFonts w:cs="Calibri" w:ascii="Calibri" w:hAnsi="Calibri"/>
                <w:b/>
                <w:bCs/>
                <w:sz w:val="26"/>
                <w:szCs w:val="26"/>
              </w:rPr>
              <w:t>2.000 lei</w:t>
            </w:r>
          </w:p>
        </w:tc>
      </w:tr>
    </w:tbl>
    <w:p>
      <w:pPr>
        <w:pStyle w:val="Normal"/>
        <w:spacing w:before="0" w:after="120"/>
        <w:jc w:val="both"/>
        <w:rPr/>
      </w:pPr>
      <w:r>
        <w:rPr>
          <w:rStyle w:val="Bodytext2Bold"/>
          <w:rFonts w:eastAsia="Calibri" w:cs="Calibri" w:ascii="Calibri" w:hAnsi="Calibri"/>
          <w:color w:val="000000"/>
          <w:sz w:val="26"/>
          <w:szCs w:val="26"/>
        </w:rPr>
        <w:t>Asociațiile, fundațiile, institutele bugetare, institutele de cercetări, persoanele fizice autorizate, asociațiile familiale se incadrează la  palierul 1.</w:t>
      </w:r>
    </w:p>
    <w:p>
      <w:pPr>
        <w:pStyle w:val="Bodytext22"/>
        <w:spacing w:lineRule="auto" w:line="240" w:before="0" w:after="120"/>
        <w:rPr/>
      </w:pPr>
      <w:r>
        <w:rPr>
          <w:rFonts w:cs="Calibri"/>
          <w:sz w:val="26"/>
          <w:szCs w:val="26"/>
          <w:lang w:val="ro-RO" w:eastAsia="en-US"/>
        </w:rPr>
        <w:t>Sunt de acord cu plata cotizației conform art. 11 lit. 3, respectiv:</w:t>
      </w:r>
    </w:p>
    <w:p>
      <w:pPr>
        <w:pStyle w:val="ListParagraph"/>
        <w:widowControl w:val="false"/>
        <w:numPr>
          <w:ilvl w:val="0"/>
          <w:numId w:val="3"/>
        </w:numPr>
        <w:jc w:val="both"/>
        <w:rPr/>
      </w:pPr>
      <w:r>
        <w:rPr>
          <w:rFonts w:eastAsia="Webdings" w:cs="Webdings" w:ascii="Webdings" w:hAnsi="Webdings"/>
          <w:sz w:val="26"/>
          <w:szCs w:val="26"/>
        </w:rPr>
        <w:t></w:t>
      </w:r>
      <w:r>
        <w:rPr>
          <w:rFonts w:cs="Calibri"/>
          <w:sz w:val="26"/>
          <w:szCs w:val="26"/>
        </w:rPr>
        <w:t xml:space="preserve"> </w:t>
      </w:r>
      <w:r>
        <w:rPr>
          <w:rFonts w:cs="Calibri"/>
          <w:sz w:val="26"/>
          <w:szCs w:val="26"/>
        </w:rPr>
        <w:t>anual</w:t>
      </w:r>
    </w:p>
    <w:p>
      <w:pPr>
        <w:pStyle w:val="ListParagraph"/>
        <w:widowControl w:val="false"/>
        <w:numPr>
          <w:ilvl w:val="0"/>
          <w:numId w:val="3"/>
        </w:numPr>
        <w:jc w:val="both"/>
        <w:rPr/>
      </w:pPr>
      <w:r>
        <w:rPr>
          <w:rFonts w:eastAsia="Webdings" w:cs="Webdings" w:ascii="Webdings" w:hAnsi="Webdings"/>
          <w:sz w:val="26"/>
          <w:szCs w:val="26"/>
        </w:rPr>
        <w:t></w:t>
      </w:r>
      <w:r>
        <w:rPr>
          <w:rFonts w:cs="Calibri"/>
          <w:sz w:val="26"/>
          <w:szCs w:val="26"/>
        </w:rPr>
        <w:t xml:space="preserve"> </w:t>
      </w:r>
      <w:r>
        <w:rPr>
          <w:rFonts w:cs="Calibri"/>
          <w:sz w:val="26"/>
          <w:szCs w:val="26"/>
        </w:rPr>
        <w:t>semestrial</w:t>
      </w:r>
    </w:p>
    <w:p>
      <w:pPr>
        <w:pStyle w:val="Normal"/>
        <w:jc w:val="both"/>
        <w:rPr/>
      </w:pPr>
      <w:r>
        <w:rPr>
          <w:rFonts w:eastAsia="Calibri" w:cs="Calibri" w:ascii="Calibri" w:hAnsi="Calibri"/>
          <w:sz w:val="26"/>
          <w:szCs w:val="26"/>
        </w:rPr>
        <w:t xml:space="preserve">Calitatea de membru se reînnoiește din oficiu la fiecare început de an, iar renunțarea la calitatea de membru se face numai prin transmiterea unei înștiințări scrise. </w:t>
      </w:r>
    </w:p>
    <w:p>
      <w:pPr>
        <w:pStyle w:val="Normal"/>
        <w:rPr>
          <w:rFonts w:ascii="Calibri" w:hAnsi="Calibri" w:eastAsia="Calibri" w:cs="Calibri"/>
          <w:sz w:val="26"/>
          <w:szCs w:val="26"/>
        </w:rPr>
      </w:pPr>
      <w:r>
        <w:rPr>
          <w:rFonts w:eastAsia="Calibri" w:cs="Calibri" w:ascii="Calibri" w:hAnsi="Calibri"/>
          <w:sz w:val="26"/>
          <w:szCs w:val="26"/>
        </w:rPr>
      </w:r>
    </w:p>
    <w:p>
      <w:pPr>
        <w:pStyle w:val="Normal"/>
        <w:spacing w:before="0" w:after="240"/>
        <w:rPr>
          <w:rFonts w:ascii="Calibri" w:hAnsi="Calibri" w:eastAsia="Calibri" w:cs="Calibri"/>
          <w:sz w:val="26"/>
          <w:szCs w:val="26"/>
        </w:rPr>
      </w:pPr>
      <w:r>
        <w:rPr>
          <w:rFonts w:eastAsia="Calibri" w:cs="Calibri" w:ascii="Calibri" w:hAnsi="Calibri"/>
          <w:sz w:val="26"/>
          <w:szCs w:val="26"/>
        </w:rPr>
        <w:t xml:space="preserve">    </w:t>
      </w:r>
      <w:r>
        <w:rPr>
          <w:rFonts w:eastAsia="Calibri" w:cs="Calibri" w:ascii="Calibri" w:hAnsi="Calibri"/>
          <w:sz w:val="26"/>
          <w:szCs w:val="26"/>
        </w:rPr>
        <w:t>Semnătura</w:t>
      </w:r>
    </w:p>
    <w:p>
      <w:pPr>
        <w:pStyle w:val="Normal"/>
        <w:rPr>
          <w:rFonts w:ascii="Calibri" w:hAnsi="Calibri" w:eastAsia="Calibri" w:cs="Calibri"/>
          <w:sz w:val="26"/>
          <w:szCs w:val="26"/>
        </w:rPr>
      </w:pPr>
      <w:r>
        <w:rPr>
          <w:rFonts w:eastAsia="Calibri" w:cs="Calibri" w:ascii="Calibri" w:hAnsi="Calibri"/>
          <w:sz w:val="26"/>
          <w:szCs w:val="26"/>
        </w:rPr>
        <w:t>____________</w:t>
      </w:r>
    </w:p>
    <w:p>
      <w:pPr>
        <w:pStyle w:val="Normal"/>
        <w:rPr>
          <w:rFonts w:ascii="Calibri" w:hAnsi="Calibri" w:eastAsia="Calibri" w:cs="Calibri"/>
          <w:sz w:val="26"/>
          <w:szCs w:val="26"/>
        </w:rPr>
      </w:pPr>
      <w:r>
        <w:rPr>
          <w:rFonts w:eastAsia="Calibri" w:cs="Calibri" w:ascii="Calibri" w:hAnsi="Calibri"/>
          <w:sz w:val="26"/>
          <w:szCs w:val="26"/>
        </w:rPr>
      </w:r>
    </w:p>
    <w:p>
      <w:pPr>
        <w:pStyle w:val="Normal"/>
        <w:keepNext w:val="true"/>
        <w:keepLines/>
        <w:spacing w:before="0" w:after="120"/>
        <w:ind w:right="20" w:hanging="0"/>
        <w:jc w:val="center"/>
        <w:rPr>
          <w:rFonts w:ascii="Calibri" w:hAnsi="Calibri" w:cs="Calibri"/>
          <w:b/>
          <w:b/>
          <w:sz w:val="28"/>
          <w:szCs w:val="28"/>
        </w:rPr>
      </w:pPr>
      <w:r>
        <w:rPr>
          <w:rFonts w:cs="Calibri" w:ascii="Calibri" w:hAnsi="Calibri"/>
          <w:b/>
          <w:sz w:val="28"/>
          <w:szCs w:val="28"/>
        </w:rPr>
        <w:t>PACHETE DE SERVICII PE NIVELE DE COTIZAŢII</w:t>
      </w:r>
    </w:p>
    <w:p>
      <w:pPr>
        <w:pStyle w:val="Normal"/>
        <w:keepNext w:val="true"/>
        <w:keepLines/>
        <w:spacing w:before="0" w:after="120"/>
        <w:ind w:right="20" w:hanging="0"/>
        <w:jc w:val="center"/>
        <w:rPr>
          <w:rFonts w:ascii="Calibri" w:hAnsi="Calibri" w:cs="Calibri"/>
          <w:b/>
          <w:b/>
          <w:sz w:val="28"/>
          <w:szCs w:val="28"/>
        </w:rPr>
      </w:pPr>
      <w:r>
        <w:rPr>
          <w:rFonts w:cs="Calibri" w:ascii="Calibri" w:hAnsi="Calibri"/>
          <w:b/>
          <w:sz w:val="28"/>
          <w:szCs w:val="28"/>
        </w:rPr>
      </w:r>
    </w:p>
    <w:p>
      <w:pPr>
        <w:pStyle w:val="Normal"/>
        <w:spacing w:before="0" w:after="120"/>
        <w:ind w:firstLine="181"/>
        <w:jc w:val="both"/>
        <w:rPr/>
      </w:pPr>
      <w:r>
        <w:rPr>
          <w:rFonts w:cs="Calibri" w:ascii="Calibri" w:hAnsi="Calibri"/>
          <w:b/>
          <w:bCs/>
        </w:rPr>
        <w:t>Cotizaţie anuală: 200 lei</w:t>
      </w:r>
    </w:p>
    <w:p>
      <w:pPr>
        <w:pStyle w:val="Normal"/>
        <w:spacing w:before="0" w:after="120"/>
        <w:ind w:firstLine="181"/>
        <w:rPr>
          <w:rFonts w:ascii="Calibri" w:hAnsi="Calibri" w:cs="Calibri"/>
          <w:b/>
          <w:b/>
        </w:rPr>
      </w:pPr>
      <w:r>
        <w:rPr>
          <w:rFonts w:cs="Calibri" w:ascii="Calibri" w:hAnsi="Calibri"/>
          <w:b/>
          <w:bCs/>
        </w:rPr>
        <w:t>Pachet de bază:</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reprezentarea intereselor firmei membre în raport cu autoritățile locale și naţionale și cu organizaţii similare din străinătate;</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transmiterea de informaţii privind: cereri și oferte de produse și servicii; parteneriate, întâlniri de afaceri locale și naţionale; târguri și expoziţii naţionale și internaţionale; modificări legislative; întâlniri cu administraţia publica locala și centrala; programe de finanţare; programe de formare profesională etc.;</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informare privind oportunitățile de afaceri la nivel local;</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informare permanentă cu privire la activitățile din sistemul cameral;</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bCs/>
        </w:rPr>
        <w:t>includerea firmei pe listele cerute de potenţiali investitori interni și externi;</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 xml:space="preserve">acordarea unui punctaj suplimentar de 10% în calculul clasamentului realizat cu ocazia </w:t>
      </w:r>
      <w:r>
        <w:rPr>
          <w:rFonts w:cs="Calibri" w:ascii="Calibri" w:hAnsi="Calibri"/>
        </w:rPr>
        <w:t>Topului firmelor brailene</w:t>
      </w:r>
      <w:r>
        <w:rPr>
          <w:rFonts w:cs="Calibri" w:ascii="Calibri" w:hAnsi="Calibri"/>
          <w:bCs/>
        </w:rPr>
        <w:t xml:space="preserve"> (organizat în baza criteriilor naționale unice stabilite de Camerei de Comerț și Industrie a României) și reducere la taxa de participare la eveniment;</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participarea la cursuri, seminarii, întâlniri de afaceri, alte evenimente - reduceri ale tarifelor, conform ghidului serviciilor;</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promovarea gratuită a firmei pe site-ul CCIA Brăila;</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eliberarea de adeverinţe pentru participarea la târguri şi expoziţii naţionale, în vederea obţinerii de reduceri la taxele de participare;</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oportunitatea inițierii de parteneriate cu CCIA Brăila în cadrul proiectelor finanțate din fonduri europene;</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rPr>
        <w:t>oportunitatea de a fi recomandat ca partener în proiecte cu finanțare europeană inițiate de colaboratori ai CCIA Brăila.</w:t>
      </w:r>
    </w:p>
    <w:p>
      <w:pPr>
        <w:pStyle w:val="Normal"/>
        <w:spacing w:before="0" w:after="120"/>
        <w:ind w:firstLine="181"/>
        <w:jc w:val="both"/>
        <w:rPr>
          <w:rFonts w:ascii="Calibri" w:hAnsi="Calibri" w:cs="Calibri"/>
          <w:b/>
          <w:b/>
          <w:bCs/>
        </w:rPr>
      </w:pPr>
      <w:r>
        <w:rPr>
          <w:rFonts w:cs="Calibri" w:ascii="Calibri" w:hAnsi="Calibri"/>
          <w:b/>
          <w:bCs/>
        </w:rPr>
      </w:r>
    </w:p>
    <w:p>
      <w:pPr>
        <w:pStyle w:val="Normal"/>
        <w:spacing w:before="0" w:after="120"/>
        <w:ind w:firstLine="181"/>
        <w:jc w:val="both"/>
        <w:rPr>
          <w:rFonts w:ascii="Calibri" w:hAnsi="Calibri" w:cs="Calibri"/>
          <w:b/>
          <w:b/>
          <w:bCs/>
        </w:rPr>
      </w:pPr>
      <w:r>
        <w:rPr>
          <w:rFonts w:cs="Calibri" w:ascii="Calibri" w:hAnsi="Calibri"/>
          <w:b/>
          <w:bCs/>
        </w:rPr>
        <w:t>Cotizaţie anuală: 350 lei</w:t>
      </w:r>
    </w:p>
    <w:p>
      <w:pPr>
        <w:pStyle w:val="Normal"/>
        <w:spacing w:before="0" w:after="120"/>
        <w:ind w:firstLine="181"/>
        <w:jc w:val="both"/>
        <w:rPr>
          <w:rFonts w:ascii="Calibri" w:hAnsi="Calibri" w:cs="Calibri"/>
        </w:rPr>
      </w:pPr>
      <w:r>
        <w:rPr>
          <w:rFonts w:cs="Calibri" w:ascii="Calibri" w:hAnsi="Calibri"/>
          <w:b/>
          <w:bCs/>
        </w:rPr>
        <w:t>Pachet de bază +</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acordarea unei reduceri de 5% la tariful de închiriere/mp în cadrul unui târg organizat de CCIA Brăila;</w:t>
      </w:r>
    </w:p>
    <w:p>
      <w:pPr>
        <w:pStyle w:val="Normal"/>
        <w:spacing w:before="0" w:after="120"/>
        <w:ind w:firstLine="181"/>
        <w:rPr>
          <w:rFonts w:ascii="Calibri" w:hAnsi="Calibri" w:cs="Calibri"/>
        </w:rPr>
      </w:pPr>
      <w:r>
        <w:rPr>
          <w:rFonts w:cs="Calibri" w:ascii="Calibri" w:hAnsi="Calibri"/>
        </w:rPr>
        <w:t>Reducerile se acordă membrilor cu cotizaţia achitată la zi, fără a depăşi, cumulat, într-un an, 60% din nivelul cotizaţiei.</w:t>
      </w:r>
    </w:p>
    <w:p>
      <w:pPr>
        <w:pStyle w:val="Normal"/>
        <w:spacing w:before="0" w:after="120"/>
        <w:ind w:firstLine="181"/>
        <w:rPr>
          <w:rFonts w:ascii="Calibri" w:hAnsi="Calibri" w:cs="Calibri"/>
          <w:b/>
          <w:b/>
          <w:bCs/>
        </w:rPr>
      </w:pPr>
      <w:r>
        <w:rPr>
          <w:rFonts w:cs="Calibri" w:ascii="Calibri" w:hAnsi="Calibri"/>
          <w:b/>
          <w:bCs/>
        </w:rPr>
      </w:r>
    </w:p>
    <w:p>
      <w:pPr>
        <w:pStyle w:val="Normal"/>
        <w:spacing w:before="0" w:after="120"/>
        <w:ind w:firstLine="181"/>
        <w:rPr>
          <w:rFonts w:ascii="Calibri" w:hAnsi="Calibri" w:cs="Calibri"/>
          <w:b/>
          <w:b/>
          <w:bCs/>
        </w:rPr>
      </w:pPr>
      <w:r>
        <w:rPr>
          <w:rFonts w:cs="Calibri" w:ascii="Calibri" w:hAnsi="Calibri"/>
          <w:b/>
          <w:bCs/>
        </w:rPr>
        <w:t>Cotizaţie anuală: 500 lei</w:t>
      </w:r>
    </w:p>
    <w:p>
      <w:pPr>
        <w:pStyle w:val="Normal"/>
        <w:spacing w:before="0" w:after="120"/>
        <w:ind w:firstLine="181"/>
        <w:rPr>
          <w:rFonts w:ascii="Calibri" w:hAnsi="Calibri" w:cs="Calibri"/>
          <w:b/>
          <w:b/>
        </w:rPr>
      </w:pPr>
      <w:r>
        <w:rPr>
          <w:rFonts w:cs="Calibri" w:ascii="Calibri" w:hAnsi="Calibri"/>
          <w:b/>
          <w:bCs/>
        </w:rPr>
        <w:t>Pachet de bază +</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oportunitatea iniţierii de parteneriate cu CCIA Brăila în cadrul proiectelor finanţate din fonduri europene;</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oportunitatea de a fi recomandat ca partener în proiecte cu finanţare europeană iniţiate de colaboratori ai CCIA Brăila;</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acordarea unei reduceri de 5% la tariful de închiriere/mp în cadrul unui târg organizat de CCIA Brăila;</w:t>
      </w:r>
    </w:p>
    <w:p>
      <w:pPr>
        <w:pStyle w:val="Normal"/>
        <w:widowControl w:val="false"/>
        <w:tabs>
          <w:tab w:val="clear" w:pos="709"/>
          <w:tab w:val="left" w:pos="567" w:leader="none"/>
        </w:tabs>
        <w:spacing w:before="0" w:after="120"/>
        <w:ind w:left="181" w:hanging="0"/>
        <w:jc w:val="both"/>
        <w:rPr>
          <w:rFonts w:ascii="Calibri" w:hAnsi="Calibri" w:cs="Calibri"/>
        </w:rPr>
      </w:pPr>
      <w:r>
        <w:rPr>
          <w:rFonts w:cs="Calibri" w:ascii="Calibri" w:hAnsi="Calibri"/>
        </w:rPr>
        <w:t>Reducerile se acordă membrilor cu cotizaţia achitată la zi, fără a depăşi, cumulat, într-un an, 65% din nivelul cotizaţiei.</w:t>
      </w:r>
    </w:p>
    <w:p>
      <w:pPr>
        <w:pStyle w:val="Normal"/>
        <w:spacing w:before="0" w:after="120"/>
        <w:ind w:firstLine="181"/>
        <w:rPr>
          <w:rFonts w:ascii="Calibri" w:hAnsi="Calibri" w:cs="Calibri"/>
          <w:b/>
          <w:b/>
          <w:bCs/>
        </w:rPr>
      </w:pPr>
      <w:r>
        <w:rPr>
          <w:rFonts w:cs="Calibri" w:ascii="Calibri" w:hAnsi="Calibri"/>
          <w:b/>
          <w:bCs/>
        </w:rPr>
      </w:r>
    </w:p>
    <w:p>
      <w:pPr>
        <w:pStyle w:val="Normal"/>
        <w:spacing w:before="0" w:after="120"/>
        <w:ind w:firstLine="181"/>
        <w:rPr>
          <w:rFonts w:ascii="Calibri" w:hAnsi="Calibri" w:cs="Calibri"/>
          <w:b/>
          <w:b/>
          <w:bCs/>
        </w:rPr>
      </w:pPr>
      <w:r>
        <w:rPr>
          <w:rFonts w:cs="Calibri" w:ascii="Calibri" w:hAnsi="Calibri"/>
          <w:b/>
          <w:bCs/>
        </w:rPr>
        <w:t>Cotizaţie anuală: 700 lei</w:t>
      </w:r>
    </w:p>
    <w:p>
      <w:pPr>
        <w:pStyle w:val="Normal"/>
        <w:spacing w:before="0" w:after="120"/>
        <w:ind w:firstLine="181"/>
        <w:rPr>
          <w:rFonts w:ascii="Calibri" w:hAnsi="Calibri" w:cs="Calibri"/>
          <w:b/>
          <w:b/>
        </w:rPr>
      </w:pPr>
      <w:r>
        <w:rPr>
          <w:rFonts w:cs="Calibri" w:ascii="Calibri" w:hAnsi="Calibri"/>
          <w:b/>
          <w:bCs/>
        </w:rPr>
        <w:t>Pachet de bază +</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oportunitatea iniţierii de parteneriate cu CCIA Brăila în cadrul proiectelor finanţate din fonduri europene;</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oportunitatea de a fi recomandat ca partener în proiecte cu finanţare europeană iniţiate de colaboratori ai CCIA Brăila;</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eliberarea certificate de origine - reducere conform Ghidului Serviciilor;</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eliberarea avizului de forţă majoră - reducere conform Ghidului Serviciilor;</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acordarea unei reduceri de 10% la tariful de închiriere/mp în cadrul unui târg organizat de CCIA Brăila;</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acordarea unei reduceri de 5% (până la concurenţa a jumătate din cotizaţia anuală plătită) pentru taxa administrativă la dosarele soluţionate prin Curtea de Arbitraj Comercial de pe lângă CCIA Brăila, iar în cazul în care taxa arbitrală depăşeşte 30.000 lei, taxa administrativă se va diminua cu 80% din valoarea cotizaţiei achitate;</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mediatizarea firmei, la cererea acesteia, la evenimentele organizate de CCIA Brăila (de la caz la caz, atunci când nu există un conflict de interese cu participanții la evenimentul respectiv);</w:t>
      </w:r>
    </w:p>
    <w:p>
      <w:pPr>
        <w:pStyle w:val="Normal"/>
        <w:spacing w:before="0" w:after="120"/>
        <w:ind w:firstLine="181"/>
        <w:rPr>
          <w:rFonts w:ascii="Calibri" w:hAnsi="Calibri" w:cs="Calibri"/>
        </w:rPr>
      </w:pPr>
      <w:r>
        <w:rPr>
          <w:rFonts w:cs="Calibri" w:ascii="Calibri" w:hAnsi="Calibri"/>
        </w:rPr>
        <w:t>Reducerile se acordă membrilor cu cotizaţia achitată la zi, fără a depăşi, cumulat, într-un an, 70% din nivelul cotizaţiei.</w:t>
      </w:r>
    </w:p>
    <w:p>
      <w:pPr>
        <w:pStyle w:val="Normal"/>
        <w:spacing w:before="0" w:after="120"/>
        <w:ind w:firstLine="181"/>
        <w:rPr>
          <w:rFonts w:ascii="Calibri" w:hAnsi="Calibri" w:cs="Calibri"/>
          <w:b/>
          <w:b/>
          <w:bCs/>
        </w:rPr>
      </w:pPr>
      <w:r>
        <w:rPr>
          <w:rFonts w:cs="Calibri" w:ascii="Calibri" w:hAnsi="Calibri"/>
          <w:b/>
          <w:bCs/>
        </w:rPr>
      </w:r>
    </w:p>
    <w:p>
      <w:pPr>
        <w:pStyle w:val="Normal"/>
        <w:spacing w:before="0" w:after="120"/>
        <w:ind w:firstLine="181"/>
        <w:rPr>
          <w:rFonts w:ascii="Calibri" w:hAnsi="Calibri" w:cs="Calibri"/>
          <w:b/>
          <w:b/>
        </w:rPr>
      </w:pPr>
      <w:r>
        <w:rPr>
          <w:rFonts w:cs="Calibri" w:ascii="Calibri" w:hAnsi="Calibri"/>
          <w:b/>
          <w:bCs/>
        </w:rPr>
        <w:t>Cotizaţie anuală:  1.000 lei</w:t>
        <w:br/>
        <w:t>Pachet de baza +</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eliberarea certificate de origine - reducere conform Ghidului Serviciilor;</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eliberarea avizului de forţă majoră - reducere conform Ghidului Serviciilor;</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 xml:space="preserve">acordarea unei reduceri de 10% </w:t>
      </w:r>
      <w:r>
        <w:rPr>
          <w:rFonts w:cs="Calibri" w:ascii="Calibri" w:hAnsi="Calibri"/>
          <w:bCs/>
        </w:rPr>
        <w:t>la tariful de închiriere/mp în cadrul unui târg organizat</w:t>
      </w:r>
      <w:r>
        <w:rPr>
          <w:rFonts w:cs="Calibri" w:ascii="Calibri" w:hAnsi="Calibri"/>
        </w:rPr>
        <w:t xml:space="preserve"> de CCIA Brăila;</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posibilitatea participării unei persoane la o misiune economică organizată de CCIA Brăila, fără plata comisionului Camerei;</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acordarea unei reduceri de 5% pentru taxa administrativă la dosarele soluționate prin Curtea de Arbitraj Comercial de pe lângă CCIA Brăila, iar în cazul în care taxa arbitrală depășește 20.000 lei, taxa administrativă se va diminua cu 60% din valoarea cotizației achitate;</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mediatizarea firmei, la cererea acesteia, la evenimentele organizate de CCIA Brăila (de la caz la caz, atunci când nu există un conflict de interese cu participanții la evenimentul respectiv);</w:t>
      </w:r>
    </w:p>
    <w:p>
      <w:pPr>
        <w:pStyle w:val="Normal"/>
        <w:spacing w:before="0" w:after="120"/>
        <w:ind w:firstLine="181"/>
        <w:rPr>
          <w:rFonts w:ascii="Calibri" w:hAnsi="Calibri" w:cs="Calibri"/>
        </w:rPr>
      </w:pPr>
      <w:r>
        <w:rPr>
          <w:rFonts w:cs="Calibri" w:ascii="Calibri" w:hAnsi="Calibri"/>
        </w:rPr>
        <w:t>Reducerile se acordă membrilor cu cotizaţia achitată la zi, fără a depăşi, cumulat, într-un an, 70% din nivelul cotizaţiei.</w:t>
      </w:r>
    </w:p>
    <w:p>
      <w:pPr>
        <w:pStyle w:val="Normal"/>
        <w:spacing w:before="0" w:after="120"/>
        <w:ind w:firstLine="181"/>
        <w:rPr>
          <w:rFonts w:ascii="Calibri" w:hAnsi="Calibri" w:cs="Calibri"/>
          <w:b/>
          <w:b/>
        </w:rPr>
      </w:pPr>
      <w:r>
        <w:rPr>
          <w:rFonts w:cs="Calibri" w:ascii="Calibri" w:hAnsi="Calibri"/>
          <w:b/>
          <w:bCs/>
        </w:rPr>
        <w:t>Cotizaţie specială:  2.000 lei</w:t>
        <w:br/>
        <w:t>Pachet de baza +</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eliberarea certificate de origine - reducere conform Ghidului Serviciilor;</w:t>
      </w:r>
    </w:p>
    <w:p>
      <w:pPr>
        <w:pStyle w:val="Normal"/>
        <w:widowControl w:val="false"/>
        <w:numPr>
          <w:ilvl w:val="0"/>
          <w:numId w:val="2"/>
        </w:numPr>
        <w:tabs>
          <w:tab w:val="clear" w:pos="709"/>
          <w:tab w:val="left" w:pos="567" w:leader="none"/>
        </w:tabs>
        <w:spacing w:before="0" w:after="120"/>
        <w:ind w:left="0" w:firstLine="181"/>
        <w:jc w:val="both"/>
        <w:rPr>
          <w:rFonts w:ascii="Calibri" w:hAnsi="Calibri" w:cs="Calibri"/>
        </w:rPr>
      </w:pPr>
      <w:r>
        <w:rPr>
          <w:rFonts w:cs="Calibri" w:ascii="Calibri" w:hAnsi="Calibri"/>
          <w:bCs/>
        </w:rPr>
        <w:t>eliberarea avizului de forţă majoră - reducere conform Ghidului Serviciilor;</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acordarea unei reduceri de 20% la tariful de închiriere/mp în cadrul unui târg organizat de CCIA Brăila;</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posibilitatea participării unei persoane la o misiune economică organizată de CCIA Brăila, fără plata comisionului Camerei;</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acordarea unei reduceri de 10% pentru taxa administrativă la dosarele soluționate prin Curtea de Arbitraj Comercial de pe lângă CCIA Brăila, iar în cazul în care taxa arbitrală depășește 20.000 lei, taxa administrativă se va diminua cu 70% din valoarea cotizației achitate;</w:t>
      </w:r>
    </w:p>
    <w:p>
      <w:pPr>
        <w:pStyle w:val="Normal"/>
        <w:widowControl w:val="false"/>
        <w:numPr>
          <w:ilvl w:val="0"/>
          <w:numId w:val="2"/>
        </w:numPr>
        <w:tabs>
          <w:tab w:val="clear" w:pos="709"/>
          <w:tab w:val="left" w:pos="567" w:leader="none"/>
        </w:tabs>
        <w:spacing w:before="0" w:after="120"/>
        <w:ind w:left="0" w:firstLine="181"/>
        <w:jc w:val="both"/>
        <w:rPr/>
      </w:pPr>
      <w:r>
        <w:rPr>
          <w:rFonts w:cs="Calibri" w:ascii="Calibri" w:hAnsi="Calibri"/>
        </w:rPr>
        <w:t>mediatizarea firmei, la cererea acesteia, pe paginile web si facebook a CCIA Brăila, prin corespondență electronică, în cadrul evenimentelor organizate de CCIA Brăila (de la caz la caz, atunci când nu există un conflict de interese cu participanții la evenimentul respectiv);</w:t>
      </w:r>
    </w:p>
    <w:p>
      <w:pPr>
        <w:pStyle w:val="Normal"/>
        <w:widowControl w:val="false"/>
        <w:tabs>
          <w:tab w:val="clear" w:pos="709"/>
          <w:tab w:val="left" w:pos="567" w:leader="none"/>
        </w:tabs>
        <w:spacing w:before="0" w:after="120"/>
        <w:ind w:firstLine="181"/>
        <w:jc w:val="both"/>
        <w:rPr>
          <w:rFonts w:ascii="Calibri" w:hAnsi="Calibri" w:cs="Calibri"/>
        </w:rPr>
      </w:pPr>
      <w:r>
        <w:rPr>
          <w:rFonts w:cs="Calibri" w:ascii="Calibri" w:hAnsi="Calibri"/>
        </w:rPr>
        <w:t>Reducerile se acordă membrilor cu cotizaţia achitată la zi, fără a depăşi, cumulat, într-un an, 75% din nivelul cotizaţiei.</w:t>
      </w:r>
    </w:p>
    <w:p>
      <w:pPr>
        <w:pStyle w:val="Normal"/>
        <w:widowControl w:val="false"/>
        <w:tabs>
          <w:tab w:val="clear" w:pos="709"/>
          <w:tab w:val="left" w:pos="567" w:leader="none"/>
        </w:tabs>
        <w:spacing w:before="0" w:after="120"/>
        <w:ind w:firstLine="181"/>
        <w:jc w:val="both"/>
        <w:rPr>
          <w:rFonts w:ascii="Calibri" w:hAnsi="Calibri" w:cs="Calibri"/>
          <w:b/>
          <w:b/>
          <w:bCs/>
          <w:lang w:val="en-US"/>
        </w:rPr>
      </w:pPr>
      <w:r>
        <w:rPr>
          <w:rFonts w:cs="Calibri" w:ascii="Calibri" w:hAnsi="Calibri"/>
          <w:b/>
          <w:bCs/>
          <w:lang w:val="en-US"/>
        </w:rPr>
      </w:r>
    </w:p>
    <w:p>
      <w:pPr>
        <w:pStyle w:val="Normal"/>
        <w:widowControl w:val="false"/>
        <w:tabs>
          <w:tab w:val="clear" w:pos="709"/>
          <w:tab w:val="left" w:pos="567" w:leader="none"/>
        </w:tabs>
        <w:spacing w:before="0" w:after="120"/>
        <w:ind w:firstLine="181"/>
        <w:jc w:val="both"/>
        <w:rPr>
          <w:rFonts w:ascii="Calibri" w:hAnsi="Calibri" w:cs="Calibri"/>
          <w:b/>
          <w:b/>
          <w:bCs/>
          <w:lang w:val="en-US"/>
        </w:rPr>
      </w:pPr>
      <w:r>
        <w:rPr>
          <w:rFonts w:cs="Calibri" w:ascii="Calibri" w:hAnsi="Calibri"/>
          <w:b/>
          <w:bCs/>
          <w:lang w:val="en-US"/>
        </w:rPr>
        <w:t xml:space="preserve">Cotizație grup de firme </w:t>
      </w:r>
    </w:p>
    <w:p>
      <w:pPr>
        <w:pStyle w:val="ListParagraph"/>
        <w:spacing w:lineRule="auto" w:line="240" w:before="0" w:after="120"/>
        <w:ind w:left="0" w:hanging="0"/>
        <w:contextualSpacing/>
        <w:jc w:val="both"/>
        <w:rPr>
          <w:rFonts w:cs="Calibri"/>
          <w:sz w:val="24"/>
          <w:szCs w:val="24"/>
        </w:rPr>
      </w:pPr>
      <w:r>
        <w:rPr>
          <w:rFonts w:cs="Calibri"/>
          <w:sz w:val="24"/>
          <w:szCs w:val="24"/>
          <w:lang w:val="en-US"/>
        </w:rPr>
        <w:t xml:space="preserve">În cazul în care o firmă </w:t>
      </w:r>
      <w:r>
        <w:rPr>
          <w:rFonts w:cs="Calibri"/>
          <w:sz w:val="24"/>
          <w:szCs w:val="24"/>
        </w:rPr>
        <w:t xml:space="preserve">formează o întreprindere unică, în sensul Regulamentului (UE) nr.1407/2013 al Comisiei din 18 decembrie 2013 privind aplicarea articolelor 107 și 108 din Tratatul privind funcționarea Uniunii Europene ajutoarelor de minimis, cu alte întreprinderi, firmele aflate în această situație vor fi încadrate în plafonul rezultat din calcularea cifrei de afaceri la nivelul întregului grup, una dintre </w:t>
      </w:r>
      <w:r>
        <w:rPr>
          <w:rFonts w:cs="Calibri"/>
          <w:sz w:val="24"/>
          <w:szCs w:val="24"/>
          <w:lang w:val="en-US"/>
        </w:rPr>
        <w:t>firma urmând a fi încadrată la plafonul de cotizație aferent rezultatului întregului grup, restul firmelor din grup fiind încadrate în plafonul minim (pachetul de bază). Firmele din grup vor beneficia de facilitățile corespunzătoare plafonului de încadrare a grupului.</w:t>
      </w:r>
    </w:p>
    <w:p>
      <w:pPr>
        <w:pStyle w:val="Normal"/>
        <w:spacing w:before="0" w:after="120"/>
        <w:jc w:val="center"/>
        <w:rPr>
          <w:rFonts w:ascii="Calibri" w:hAnsi="Calibri" w:eastAsia="Calibri" w:cs="Calibri"/>
          <w:b/>
          <w:b/>
          <w:sz w:val="26"/>
          <w:szCs w:val="26"/>
        </w:rPr>
      </w:pPr>
      <w:r>
        <w:rPr>
          <w:rFonts w:eastAsia="Calibri" w:cs="Calibri" w:ascii="Calibri" w:hAnsi="Calibri"/>
          <w:b/>
          <w:sz w:val="26"/>
          <w:szCs w:val="26"/>
        </w:rPr>
      </w:r>
    </w:p>
    <w:p>
      <w:pPr>
        <w:pStyle w:val="Normal"/>
        <w:widowControl w:val="false"/>
        <w:tabs>
          <w:tab w:val="clear" w:pos="709"/>
          <w:tab w:val="left" w:pos="284" w:leader="none"/>
        </w:tabs>
        <w:spacing w:before="0" w:after="120"/>
        <w:jc w:val="center"/>
        <w:rPr>
          <w:rFonts w:ascii="Calibri" w:hAnsi="Calibri" w:eastAsia="Calibri" w:cs="Calibri"/>
          <w:b/>
          <w:b/>
          <w:bCs/>
          <w:i/>
          <w:i/>
          <w:sz w:val="28"/>
          <w:szCs w:val="28"/>
        </w:rPr>
      </w:pPr>
      <w:r>
        <w:rPr>
          <w:rFonts w:eastAsia="Calibri" w:cs="Calibri" w:ascii="Calibri" w:hAnsi="Calibri"/>
          <w:b/>
          <w:bCs/>
          <w:i/>
          <w:sz w:val="28"/>
          <w:szCs w:val="28"/>
        </w:rPr>
      </w:r>
    </w:p>
    <w:p>
      <w:pPr>
        <w:pStyle w:val="Normal"/>
        <w:widowControl w:val="false"/>
        <w:tabs>
          <w:tab w:val="clear" w:pos="709"/>
          <w:tab w:val="left" w:pos="284" w:leader="none"/>
        </w:tabs>
        <w:spacing w:before="0" w:after="120"/>
        <w:jc w:val="center"/>
        <w:rPr>
          <w:rFonts w:ascii="Calibri" w:hAnsi="Calibri" w:cs="Calibri"/>
          <w:b/>
          <w:b/>
          <w:bCs/>
          <w:i/>
          <w:i/>
          <w:sz w:val="26"/>
          <w:szCs w:val="26"/>
        </w:rPr>
      </w:pPr>
      <w:r>
        <w:rPr>
          <w:rFonts w:cs="Calibri" w:ascii="Calibri" w:hAnsi="Calibri"/>
          <w:b/>
          <w:bCs/>
          <w:i/>
          <w:sz w:val="26"/>
          <w:szCs w:val="26"/>
        </w:rPr>
        <w:t xml:space="preserve">Serviciile și reducerile se acordă membrilor, cu cotizaţia și </w:t>
      </w:r>
    </w:p>
    <w:p>
      <w:pPr>
        <w:pStyle w:val="Normal"/>
        <w:widowControl w:val="false"/>
        <w:tabs>
          <w:tab w:val="clear" w:pos="709"/>
          <w:tab w:val="left" w:pos="284" w:leader="none"/>
        </w:tabs>
        <w:spacing w:before="0" w:after="120"/>
        <w:jc w:val="center"/>
        <w:rPr>
          <w:rFonts w:ascii="Calibri" w:hAnsi="Calibri" w:cs="Calibri"/>
          <w:b/>
          <w:b/>
          <w:bCs/>
          <w:i/>
          <w:i/>
          <w:sz w:val="26"/>
          <w:szCs w:val="26"/>
        </w:rPr>
      </w:pPr>
      <w:r>
        <w:rPr>
          <w:rFonts w:cs="Calibri" w:ascii="Calibri" w:hAnsi="Calibri"/>
          <w:b/>
          <w:bCs/>
          <w:i/>
          <w:sz w:val="26"/>
          <w:szCs w:val="26"/>
        </w:rPr>
        <w:t xml:space="preserve">toate obligațiile contractuale în raport cu C.C.I.A. Brăila achitate la zi. </w:t>
      </w:r>
    </w:p>
    <w:p>
      <w:pPr>
        <w:pStyle w:val="Normal"/>
        <w:widowControl w:val="false"/>
        <w:tabs>
          <w:tab w:val="clear" w:pos="709"/>
          <w:tab w:val="left" w:pos="284" w:leader="none"/>
        </w:tabs>
        <w:spacing w:before="0" w:after="120"/>
        <w:jc w:val="center"/>
        <w:rPr/>
      </w:pPr>
      <w:r>
        <w:rPr>
          <w:rFonts w:cs="Calibri" w:ascii="Calibri" w:hAnsi="Calibri"/>
          <w:b/>
          <w:bCs/>
          <w:i/>
          <w:sz w:val="26"/>
          <w:szCs w:val="26"/>
        </w:rPr>
        <w:t xml:space="preserve">Toate reducerile se vor acorda conform Ghidului Serviciilor </w:t>
      </w:r>
    </w:p>
    <w:p>
      <w:pPr>
        <w:pStyle w:val="Normal"/>
        <w:widowControl w:val="false"/>
        <w:tabs>
          <w:tab w:val="clear" w:pos="709"/>
          <w:tab w:val="left" w:pos="284" w:leader="none"/>
        </w:tabs>
        <w:spacing w:before="0" w:after="120"/>
        <w:jc w:val="center"/>
        <w:rPr>
          <w:rFonts w:ascii="Calibri" w:hAnsi="Calibri" w:cs="Calibri"/>
          <w:b/>
          <w:b/>
          <w:bCs/>
          <w:i/>
          <w:i/>
          <w:sz w:val="26"/>
          <w:szCs w:val="26"/>
        </w:rPr>
      </w:pPr>
      <w:r>
        <w:rPr>
          <w:rFonts w:cs="Calibri" w:ascii="Calibri" w:hAnsi="Calibri"/>
          <w:b/>
          <w:bCs/>
          <w:i/>
          <w:sz w:val="26"/>
          <w:szCs w:val="26"/>
        </w:rPr>
        <w:t>aprobat de Colegiul de Conducere al C.C.I.A. Brăila.</w:t>
      </w:r>
    </w:p>
    <w:sectPr>
      <w:headerReference w:type="default" r:id="rId2"/>
      <w:headerReference w:type="first" r:id="rId3"/>
      <w:footnotePr>
        <w:numFmt w:val="decimal"/>
      </w:footnotePr>
      <w:type w:val="nextPage"/>
      <w:pgSz w:w="11906" w:h="16838"/>
      <w:pgMar w:left="1418" w:right="1134" w:header="454" w:top="1134" w:footer="0" w:bottom="993"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default"/>
  </w:font>
  <w:font w:name="ArialUpR">
    <w:altName w:val="Times New Roman"/>
    <w:charset w:val="00"/>
    <w:family w:val="swiss"/>
    <w:pitch w:val="variable"/>
  </w:font>
  <w:font w:name="Courier New">
    <w:charset w:val="00"/>
    <w:family w:val="modern"/>
    <w:pitch w:val="default"/>
  </w:font>
  <w:font w:name="Wingdings">
    <w:charset w:val="02"/>
    <w:family w:val="auto"/>
    <w:pitch w:val="variable"/>
  </w:font>
  <w:font w:name="Cambria">
    <w:charset w:val="00"/>
    <w:family w:val="roman"/>
    <w:pitch w:val="variable"/>
  </w:font>
  <w:font w:name="Calibri">
    <w:charset w:val="00"/>
    <w:family w:val="swiss"/>
    <w:pitch w:val="variable"/>
  </w:font>
  <w:font w:name="Museo 500">
    <w:altName w:val="Times New Roman"/>
    <w:charset w:val="00"/>
    <w:family w:val="auto"/>
    <w:pitch w:val="default"/>
  </w:font>
  <w:font w:name="Tahoma">
    <w:charset w:val="00"/>
    <w:family w:val="swiss"/>
    <w:pitch w:val="variable"/>
  </w:font>
  <w:font w:name="Liberation Sans">
    <w:altName w:val="Arial"/>
    <w:charset w:val="01"/>
    <w:family w:val="swiss"/>
    <w:pitch w:val="variable"/>
  </w:font>
  <w:font w:name="Times New Roman">
    <w:charset w:val="01"/>
    <w:family w:val="roman"/>
    <w:pitch w:val="default"/>
  </w:font>
  <w:font w:name="Webdings">
    <w:charset w:val="02"/>
    <w:family w:val="roman"/>
    <w:pitch w:val="variable"/>
  </w:font>
  <w:font w:name="Umbra-R">
    <w:altName w:val="Bahnschrift Light"/>
    <w:charset w:val="00"/>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autoSpaceDE w:val="false"/>
        <w:rPr>
          <w:rFonts w:ascii="Calibri" w:hAnsi="Calibri" w:cs="Calibri"/>
          <w:b/>
          <w:b/>
          <w:i/>
          <w:i/>
          <w:sz w:val="22"/>
          <w:szCs w:val="22"/>
        </w:rPr>
      </w:pPr>
      <w:r>
        <w:rPr>
          <w:rStyle w:val="FootnoteCharacters"/>
        </w:rPr>
        <w:footnoteRef/>
      </w:r>
      <w:r>
        <w:rPr>
          <w:rStyle w:val="FootnoteNotBoldNotItalic"/>
          <w:rFonts w:cs="Calibri" w:ascii="Calibri" w:hAnsi="Calibri"/>
          <w:b w:val="false"/>
          <w:sz w:val="22"/>
          <w:szCs w:val="22"/>
        </w:rPr>
        <w:t xml:space="preserve"> </w:t>
      </w:r>
      <w:r>
        <w:rPr>
          <w:rFonts w:cs="Calibri" w:ascii="Calibri" w:hAnsi="Calibri"/>
          <w:i/>
          <w:sz w:val="22"/>
          <w:szCs w:val="22"/>
          <w:lang w:val="en-US"/>
        </w:rPr>
        <w:t>Se poate stabili și o cotizație variabilă, pentru pachete de servicii negociate de conducerea CCIA Brăila și reprezentantul legal al societății.</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8306"/>
        <w:tab w:val="center" w:pos="4153" w:leader="none"/>
      </w:tabs>
      <w:spacing w:lineRule="auto" w:line="360"/>
      <w:jc w:val="center"/>
      <w:rPr>
        <w:b/>
        <w:b/>
        <w:color w:val="0033CC"/>
        <w:kern w:val="2"/>
        <w:sz w:val="16"/>
        <w:szCs w:val="16"/>
        <w:lang w:val="it-IT"/>
      </w:rPr>
    </w:pPr>
    <w:r>
      <w:rPr>
        <w:b/>
        <w:color w:val="0033CC"/>
        <w:kern w:val="2"/>
        <w:sz w:val="16"/>
        <w:szCs w:val="16"/>
        <w:lang w:val="it-IT"/>
      </w:rPr>
    </w:r>
  </w:p>
  <w:p>
    <w:pPr>
      <w:pStyle w:val="Header"/>
      <w:tabs>
        <w:tab w:val="clear" w:pos="4153"/>
        <w:tab w:val="clear" w:pos="8306"/>
      </w:tabs>
      <w:spacing w:lineRule="auto" w:line="360"/>
      <w:jc w:val="center"/>
      <w:rPr>
        <w:b/>
        <w:b/>
        <w:color w:val="0033CC"/>
        <w:kern w:val="2"/>
        <w:sz w:val="16"/>
        <w:szCs w:val="16"/>
        <w:lang w:val="it-IT" w:eastAsia="en-US"/>
      </w:rPr>
    </w:pPr>
    <w:r>
      <w:rPr>
        <w:b/>
        <w:color w:val="0033CC"/>
        <w:kern w:val="2"/>
        <w:sz w:val="16"/>
        <w:szCs w:val="16"/>
        <w:lang w:val="it-IT" w:eastAsia="en-US"/>
      </w:rPr>
      <w:drawing>
        <wp:anchor behindDoc="0" distT="0" distB="0" distL="114935" distR="114935" simplePos="0" locked="0" layoutInCell="1" allowOverlap="1" relativeHeight="3">
          <wp:simplePos x="0" y="0"/>
          <wp:positionH relativeFrom="column">
            <wp:posOffset>2400300</wp:posOffset>
          </wp:positionH>
          <wp:positionV relativeFrom="paragraph">
            <wp:posOffset>-260350</wp:posOffset>
          </wp:positionV>
          <wp:extent cx="933450" cy="942975"/>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1"/>
                  <a:srcRect l="-25" t="-25" r="-25" b="-25"/>
                  <a:stretch>
                    <a:fillRect/>
                  </a:stretch>
                </pic:blipFill>
                <pic:spPr bwMode="auto">
                  <a:xfrm>
                    <a:off x="0" y="0"/>
                    <a:ext cx="933450" cy="942975"/>
                  </a:xfrm>
                  <a:prstGeom prst="rect">
                    <a:avLst/>
                  </a:prstGeom>
                </pic:spPr>
              </pic:pic>
            </a:graphicData>
          </a:graphic>
        </wp:anchor>
      </w:drawing>
    </w:r>
  </w:p>
  <w:p>
    <w:pPr>
      <w:pStyle w:val="Header"/>
      <w:tabs>
        <w:tab w:val="clear" w:pos="4153"/>
        <w:tab w:val="clear" w:pos="8306"/>
      </w:tabs>
      <w:spacing w:lineRule="auto" w:line="360"/>
      <w:jc w:val="center"/>
      <w:rPr>
        <w:b/>
        <w:b/>
        <w:color w:val="0033CC"/>
        <w:kern w:val="2"/>
        <w:sz w:val="16"/>
        <w:szCs w:val="16"/>
        <w:lang w:val="it-IT"/>
      </w:rPr>
    </w:pPr>
    <w:r>
      <w:rPr>
        <w:b/>
        <w:color w:val="0033CC"/>
        <w:kern w:val="2"/>
        <w:sz w:val="16"/>
        <w:szCs w:val="16"/>
        <w:lang w:val="it-IT"/>
      </w:rPr>
    </w:r>
  </w:p>
  <w:p>
    <w:pPr>
      <w:pStyle w:val="Header"/>
      <w:tabs>
        <w:tab w:val="clear" w:pos="4153"/>
        <w:tab w:val="clear" w:pos="8306"/>
      </w:tabs>
      <w:spacing w:lineRule="auto" w:line="360"/>
      <w:jc w:val="center"/>
      <w:rPr>
        <w:b/>
        <w:b/>
        <w:color w:val="363AF2"/>
        <w:kern w:val="2"/>
        <w:sz w:val="16"/>
        <w:szCs w:val="16"/>
        <w:lang w:val="it-IT"/>
      </w:rPr>
    </w:pPr>
    <w:r>
      <w:rPr>
        <w:b/>
        <w:color w:val="363AF2"/>
        <w:kern w:val="2"/>
        <w:sz w:val="16"/>
        <w:szCs w:val="16"/>
        <w:lang w:val="it-IT"/>
      </w:rPr>
    </w:r>
  </w:p>
  <w:p>
    <w:pPr>
      <w:pStyle w:val="Header"/>
      <w:tabs>
        <w:tab w:val="clear" w:pos="4153"/>
        <w:tab w:val="clear" w:pos="8306"/>
      </w:tabs>
      <w:spacing w:lineRule="auto" w:line="360"/>
      <w:jc w:val="center"/>
      <w:rPr>
        <w:b/>
        <w:b/>
        <w:color w:val="363AF2"/>
        <w:kern w:val="2"/>
        <w:sz w:val="16"/>
        <w:szCs w:val="16"/>
        <w:lang w:val="it-IT"/>
      </w:rPr>
    </w:pPr>
    <w:r>
      <w:rPr>
        <w:b/>
        <w:color w:val="363AF2"/>
        <w:kern w:val="2"/>
        <w:sz w:val="16"/>
        <w:szCs w:val="16"/>
        <w:lang w:val="it-IT"/>
      </w:rPr>
    </w:r>
  </w:p>
  <w:p>
    <w:pPr>
      <w:pStyle w:val="Header"/>
      <w:tabs>
        <w:tab w:val="clear" w:pos="4153"/>
        <w:tab w:val="clear" w:pos="8306"/>
      </w:tabs>
      <w:spacing w:lineRule="auto" w:line="360"/>
      <w:jc w:val="center"/>
      <w:rPr/>
    </w:pPr>
    <w:r>
      <w:rPr>
        <w:b/>
        <w:color w:val="363AF2"/>
        <w:kern w:val="2"/>
        <w:sz w:val="26"/>
        <w:szCs w:val="26"/>
        <w:lang w:val="it-IT"/>
      </w:rPr>
      <w:t>CAMERA DE COMERȚ, INDUSTRIE ȘI AGRICULTURĂ BRĂILA</w:t>
    </w:r>
  </w:p>
  <w:p>
    <w:pPr>
      <w:pStyle w:val="Header"/>
      <w:tabs>
        <w:tab w:val="clear" w:pos="4153"/>
        <w:tab w:val="clear" w:pos="8306"/>
      </w:tabs>
      <w:spacing w:lineRule="auto" w:line="360"/>
      <w:jc w:val="center"/>
      <w:rPr>
        <w:rFonts w:ascii="Umbra-R;Bahnschrift Light" w:hAnsi="Umbra-R;Bahnschrift Light" w:cs="Umbra-R;Bahnschrift Light"/>
        <w:b/>
        <w:b/>
        <w:color w:val="363AF2"/>
        <w:kern w:val="2"/>
        <w:sz w:val="20"/>
        <w:szCs w:val="20"/>
      </w:rPr>
    </w:pPr>
    <w:r>
      <mc:AlternateContent>
        <mc:Choice Requires="wps">
          <w:drawing>
            <wp:anchor behindDoc="1" distT="0" distB="0" distL="114935" distR="114935" simplePos="0" locked="0" layoutInCell="1" allowOverlap="1" relativeHeight="2">
              <wp:simplePos x="0" y="0"/>
              <wp:positionH relativeFrom="column">
                <wp:posOffset>76200</wp:posOffset>
              </wp:positionH>
              <wp:positionV relativeFrom="paragraph">
                <wp:posOffset>165100</wp:posOffset>
              </wp:positionV>
              <wp:extent cx="5630545" cy="635"/>
              <wp:effectExtent l="0" t="0" r="0" b="0"/>
              <wp:wrapNone/>
              <wp:docPr id="2" name=""/>
              <a:graphic xmlns:a="http://schemas.openxmlformats.org/drawingml/2006/main">
                <a:graphicData uri="http://schemas.microsoft.com/office/word/2010/wordprocessingShape">
                  <wps:wsp>
                    <wps:cNvSpPr/>
                    <wps:spPr>
                      <a:xfrm>
                        <a:off x="0" y="0"/>
                        <a:ext cx="563004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6pt,13pt" to="449.25pt,13pt" stroked="t" style="position:absolute">
              <v:stroke color="black" weight="12600" joinstyle="miter" endcap="flat"/>
              <v:fill o:detectmouseclick="t" on="false"/>
            </v:line>
          </w:pict>
        </mc:Fallback>
      </mc:AlternateContent>
    </w:r>
    <w:r>
      <w:rPr>
        <w:b/>
        <w:color w:val="363AF2"/>
        <w:kern w:val="2"/>
        <w:sz w:val="20"/>
        <w:szCs w:val="20"/>
      </w:rPr>
      <w:t>Î</w:t>
    </w:r>
    <w:r>
      <w:rPr>
        <w:b/>
        <w:color w:val="363AF2"/>
        <w:kern w:val="2"/>
        <w:sz w:val="20"/>
        <w:szCs w:val="20"/>
      </w:rPr>
      <w:t>MPREUNĂ PENTRU AFACEREA TA</w:t>
    </w:r>
  </w:p>
  <w:p>
    <w:pPr>
      <w:pStyle w:val="Header"/>
      <w:tabs>
        <w:tab w:val="clear" w:pos="4153"/>
        <w:tab w:val="clear" w:pos="8306"/>
      </w:tabs>
      <w:spacing w:lineRule="auto" w:line="360"/>
      <w:jc w:val="center"/>
      <w:rPr>
        <w:b/>
        <w:b/>
        <w:color w:val="363AF2"/>
        <w:kern w:val="2"/>
        <w:sz w:val="20"/>
        <w:szCs w:val="20"/>
      </w:rPr>
    </w:pPr>
    <w:r>
      <w:rPr>
        <w:b/>
        <w:color w:val="363AF2"/>
        <w:kern w:val="2"/>
        <w:sz w:val="20"/>
        <w:szCs w:val="20"/>
      </w:rPr>
      <w:t>CHAMBER OF COMMERCE, INDUSTRY AND AGRICULTURE BRĂILA</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09"/>
        </w:tabs>
        <w:ind w:left="0" w:hanging="0"/>
      </w:pPr>
      <w:rPr>
        <w:rFonts w:ascii="Cambria" w:hAnsi="Cambria" w:cs="Cambria" w:hint="default"/>
      </w:rPr>
    </w:lvl>
    <w:lvl w:ilvl="1">
      <w:start w:val="0"/>
      <w:numFmt w:val="decimal"/>
      <w:lvlText w:val="%2"/>
      <w:lvlJc w:val="left"/>
      <w:pPr>
        <w:tabs>
          <w:tab w:val="num" w:pos="0"/>
        </w:tabs>
        <w:ind w:left="0" w:hanging="0"/>
      </w:pPr>
      <w:rPr/>
    </w:lvl>
    <w:lvl w:ilvl="2">
      <w:start w:val="0"/>
      <w:numFmt w:val="decimal"/>
      <w:lvlText w:val="%3"/>
      <w:lvlJc w:val="left"/>
      <w:pPr>
        <w:tabs>
          <w:tab w:val="num" w:pos="0"/>
        </w:tabs>
        <w:ind w:left="0" w:hanging="0"/>
      </w:pPr>
      <w:rPr/>
    </w:lvl>
    <w:lvl w:ilvl="3">
      <w:start w:val="0"/>
      <w:numFmt w:val="decimal"/>
      <w:lvlText w:val="%4"/>
      <w:lvlJc w:val="left"/>
      <w:pPr>
        <w:tabs>
          <w:tab w:val="num" w:pos="0"/>
        </w:tabs>
        <w:ind w:left="0" w:hanging="0"/>
      </w:pPr>
      <w:rPr/>
    </w:lvl>
    <w:lvl w:ilvl="4">
      <w:start w:val="0"/>
      <w:numFmt w:val="decimal"/>
      <w:lvlText w:val="%5"/>
      <w:lvlJc w:val="left"/>
      <w:pPr>
        <w:tabs>
          <w:tab w:val="num" w:pos="0"/>
        </w:tabs>
        <w:ind w:left="0" w:hanging="0"/>
      </w:pPr>
      <w:rPr/>
    </w:lvl>
    <w:lvl w:ilvl="5">
      <w:start w:val="0"/>
      <w:numFmt w:val="decimal"/>
      <w:lvlText w:val="%6"/>
      <w:lvlJc w:val="left"/>
      <w:pPr>
        <w:tabs>
          <w:tab w:val="num" w:pos="0"/>
        </w:tabs>
        <w:ind w:left="0" w:hanging="0"/>
      </w:pPr>
      <w:rPr/>
    </w:lvl>
    <w:lvl w:ilvl="6">
      <w:start w:val="0"/>
      <w:numFmt w:val="decimal"/>
      <w:lvlText w:val="%7"/>
      <w:lvlJc w:val="left"/>
      <w:pPr>
        <w:tabs>
          <w:tab w:val="num" w:pos="0"/>
        </w:tabs>
        <w:ind w:left="0" w:hanging="0"/>
      </w:pPr>
      <w:rPr/>
    </w:lvl>
    <w:lvl w:ilvl="7">
      <w:start w:val="0"/>
      <w:numFmt w:val="decimal"/>
      <w:lvlText w:val="%8"/>
      <w:lvlJc w:val="left"/>
      <w:pPr>
        <w:tabs>
          <w:tab w:val="num" w:pos="0"/>
        </w:tabs>
        <w:ind w:left="0" w:hanging="0"/>
      </w:pPr>
      <w:rPr/>
    </w:lvl>
    <w:lvl w:ilvl="8">
      <w:start w:val="0"/>
      <w:numFmt w:val="decimal"/>
      <w:lvlText w:val="%9"/>
      <w:lvlJc w:val="left"/>
      <w:pPr>
        <w:tabs>
          <w:tab w:val="num" w:pos="0"/>
        </w:tabs>
        <w:ind w:left="0" w:hanging="0"/>
      </w:pPr>
      <w:rPr/>
    </w:lvl>
  </w:abstractNum>
  <w:abstractNum w:abstractNumId="3">
    <w:lvl w:ilvl="0">
      <w:start w:val="1"/>
      <w:numFmt w:val="bullet"/>
      <w:lvlText w:val=""/>
      <w:lvlJc w:val="left"/>
      <w:pPr>
        <w:tabs>
          <w:tab w:val="num" w:pos="0"/>
        </w:tabs>
        <w:ind w:left="72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09"/>
  <w:autoHyphenation w:val="true"/>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Noto Serif CJK SC" w:cs="Lohit Devanagari"/>
        <w:szCs w:val="24"/>
        <w:lang w:val="en-US"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4"/>
      <w:szCs w:val="24"/>
      <w:lang w:val="ro-RO" w:bidi="ar-SA" w:eastAsia="zh-CN"/>
    </w:rPr>
  </w:style>
  <w:style w:type="paragraph" w:styleId="Heading2">
    <w:name w:val="Heading 2"/>
    <w:basedOn w:val="Normal"/>
    <w:next w:val="Normal"/>
    <w:qFormat/>
    <w:pPr>
      <w:keepNext w:val="true"/>
      <w:numPr>
        <w:ilvl w:val="1"/>
        <w:numId w:val="1"/>
      </w:numPr>
      <w:jc w:val="center"/>
      <w:outlineLvl w:val="1"/>
    </w:pPr>
    <w:rPr>
      <w:rFonts w:ascii="ArialUpR;Times New Roman" w:hAnsi="ArialUpR;Times New Roman" w:cs="Times New Roman"/>
      <w:b/>
      <w:sz w:val="32"/>
      <w:szCs w:val="20"/>
      <w:lang w:val="en-AU"/>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 w:hAnsi="Times New Roman" w:cs="Times New Roman"/>
    </w:rPr>
  </w:style>
  <w:style w:type="character" w:styleId="WW8Num6z0">
    <w:name w:val="WW8Num6z0"/>
    <w:qFormat/>
    <w:rPr>
      <w:b/>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Cambria" w:hAnsi="Cambria" w:eastAsia="Cambria" w:cs="Cambria"/>
      <w:b/>
      <w:bCs/>
      <w:i w:val="false"/>
      <w:iCs w:val="false"/>
      <w:caps w:val="false"/>
      <w:smallCaps w:val="false"/>
      <w:strike w:val="false"/>
      <w:dstrike w:val="false"/>
      <w:color w:val="000000"/>
      <w:spacing w:val="0"/>
      <w:w w:val="100"/>
      <w:position w:val="0"/>
      <w:sz w:val="22"/>
      <w:sz w:val="22"/>
      <w:szCs w:val="22"/>
      <w:u w:val="none"/>
      <w:vertAlign w:val="baseline"/>
      <w:lang w:val="ro-RO" w:bidi="ro-RO"/>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Arial" w:hAnsi="Arial" w:cs="Arial"/>
      <w:b/>
      <w:bCs/>
      <w:i w:val="false"/>
      <w:iCs w:val="false"/>
      <w:caps w:val="false"/>
      <w:smallCaps w:val="false"/>
      <w:strike w:val="false"/>
      <w:dstrike w:val="false"/>
      <w:color w:val="000000"/>
      <w:spacing w:val="0"/>
      <w:w w:val="100"/>
      <w:position w:val="0"/>
      <w:sz w:val="22"/>
      <w:sz w:val="22"/>
      <w:szCs w:val="22"/>
      <w:u w:val="none"/>
      <w:vertAlign w:val="baseline"/>
      <w:lang w:val="ro-RO" w:bidi="ro-RO"/>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b w:val="false"/>
      <w:bCs/>
      <w:i w:val="false"/>
      <w:iCs w:val="false"/>
      <w:caps w:val="false"/>
      <w:smallCaps w:val="false"/>
      <w:strike w:val="false"/>
      <w:dstrike w:val="false"/>
      <w:color w:val="000000"/>
      <w:spacing w:val="0"/>
      <w:w w:val="100"/>
      <w:position w:val="0"/>
      <w:sz w:val="22"/>
      <w:sz w:val="22"/>
      <w:szCs w:val="22"/>
      <w:u w:val="none"/>
      <w:vertAlign w:val="baseline"/>
      <w:lang w:val="ro-RO" w:bidi="ro-RO"/>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Symbol" w:hAnsi="Symbol" w:cs="Symbol"/>
      <w:sz w:val="20"/>
    </w:rPr>
  </w:style>
  <w:style w:type="character" w:styleId="WW8Num11z1">
    <w:name w:val="WW8Num11z1"/>
    <w:qFormat/>
    <w:rPr>
      <w:rFonts w:ascii="Courier New" w:hAnsi="Courier New" w:cs="Courier New"/>
      <w:sz w:val="20"/>
    </w:rPr>
  </w:style>
  <w:style w:type="character" w:styleId="WW8Num11z2">
    <w:name w:val="WW8Num11z2"/>
    <w:qFormat/>
    <w:rPr>
      <w:rFonts w:ascii="Wingdings" w:hAnsi="Wingdings" w:cs="Wingdings"/>
      <w:sz w:val="20"/>
    </w:rPr>
  </w:style>
  <w:style w:type="character" w:styleId="WW8Num12z0">
    <w:name w:val="WW8Num12z0"/>
    <w:qFormat/>
    <w:rPr>
      <w:rFonts w:ascii="Times New Roman" w:hAnsi="Times New Roman" w:eastAsia="Times New Roman" w:cs="Times New Roman"/>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Calibri" w:hAnsi="Calibri" w:eastAsia="Calibri" w:cs="Calibri"/>
      <w:b/>
      <w:bCs/>
      <w:i w:val="false"/>
      <w:iCs w:val="false"/>
      <w:caps w:val="false"/>
      <w:smallCaps w:val="false"/>
      <w:strike w:val="false"/>
      <w:dstrike w:val="false"/>
      <w:color w:val="000000"/>
      <w:spacing w:val="0"/>
      <w:w w:val="100"/>
      <w:position w:val="0"/>
      <w:sz w:val="24"/>
      <w:sz w:val="24"/>
      <w:szCs w:val="24"/>
      <w:u w:val="none"/>
      <w:vertAlign w:val="baseline"/>
      <w:lang w:val="ro-RO" w:bidi="ro-RO"/>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Arial" w:hAnsi="Arial" w:cs="Arial"/>
      <w:b/>
      <w:bCs/>
      <w:i w:val="false"/>
      <w:iCs w:val="false"/>
      <w:caps w:val="false"/>
      <w:smallCaps w:val="false"/>
      <w:strike w:val="false"/>
      <w:dstrike w:val="false"/>
      <w:color w:val="000000"/>
      <w:spacing w:val="0"/>
      <w:w w:val="100"/>
      <w:position w:val="0"/>
      <w:sz w:val="22"/>
      <w:sz w:val="22"/>
      <w:szCs w:val="22"/>
      <w:u w:val="none"/>
      <w:vertAlign w:val="baseline"/>
      <w:lang w:val="ro-RO" w:bidi="ro-RO"/>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cs="Times New Roman"/>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Calibri" w:hAnsi="Calibri" w:eastAsia="Times New Roman" w:cs="Calibri"/>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rFonts w:ascii="Times New Roman" w:hAnsi="Times New Roman" w:cs="Times New Roman"/>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Wingdings" w:hAnsi="Wingdings" w:cs="Wingdings"/>
      <w:sz w:val="26"/>
      <w:szCs w:val="26"/>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DefaultParagraphFont">
    <w:name w:val="Default Paragraph Font"/>
    <w:qFormat/>
    <w:rPr/>
  </w:style>
  <w:style w:type="character" w:styleId="InternetLink">
    <w:name w:val="Hyperlink"/>
    <w:rPr>
      <w:color w:val="0000FF"/>
      <w:u w:val="single"/>
    </w:rPr>
  </w:style>
  <w:style w:type="character" w:styleId="Emailstyle28">
    <w:name w:val="emailstyle28"/>
    <w:qFormat/>
    <w:rPr>
      <w:rFonts w:ascii="Museo 500;Times New Roman" w:hAnsi="Museo 500;Times New Roman" w:cs="Arial"/>
      <w:color w:val="000080"/>
      <w:sz w:val="22"/>
      <w:szCs w:val="20"/>
    </w:rPr>
  </w:style>
  <w:style w:type="character" w:styleId="VisitedInternetLink">
    <w:name w:val="FollowedHyperlink"/>
    <w:rPr>
      <w:color w:val="800080"/>
      <w:u w:val="single"/>
    </w:rPr>
  </w:style>
  <w:style w:type="character" w:styleId="Highlightselected">
    <w:name w:val="highlight selected"/>
    <w:basedOn w:val="DefaultParagraphFont"/>
    <w:qFormat/>
    <w:rPr/>
  </w:style>
  <w:style w:type="character" w:styleId="Appleconvertedspace">
    <w:name w:val="apple-converted-space"/>
    <w:basedOn w:val="DefaultParagraphFont"/>
    <w:qFormat/>
    <w:rPr/>
  </w:style>
  <w:style w:type="character" w:styleId="StrongEmphasis">
    <w:name w:val="Strong Emphasis"/>
    <w:qFormat/>
    <w:rPr>
      <w:b/>
      <w:bCs/>
    </w:rPr>
  </w:style>
  <w:style w:type="character" w:styleId="HeaderChar">
    <w:name w:val="Header Char"/>
    <w:qFormat/>
    <w:rPr>
      <w:rFonts w:ascii="Arial" w:hAnsi="Arial" w:cs="Arial"/>
      <w:sz w:val="24"/>
      <w:szCs w:val="24"/>
      <w:lang w:val="ro-RO"/>
    </w:rPr>
  </w:style>
  <w:style w:type="character" w:styleId="BalloonTextChar">
    <w:name w:val="Balloon Text Char"/>
    <w:qFormat/>
    <w:rPr>
      <w:rFonts w:ascii="Tahoma" w:hAnsi="Tahoma" w:cs="Tahoma"/>
      <w:sz w:val="16"/>
      <w:szCs w:val="16"/>
      <w:lang w:val="ro-RO"/>
    </w:rPr>
  </w:style>
  <w:style w:type="character" w:styleId="BodyText2Char">
    <w:name w:val="Body Text 2 Char"/>
    <w:qFormat/>
    <w:rPr>
      <w:rFonts w:ascii="Arial" w:hAnsi="Arial" w:cs="Arial"/>
      <w:sz w:val="24"/>
      <w:szCs w:val="24"/>
      <w:lang w:val="ro-RO"/>
    </w:rPr>
  </w:style>
  <w:style w:type="character" w:styleId="Heading2Char">
    <w:name w:val="Heading 2 Char"/>
    <w:qFormat/>
    <w:rPr>
      <w:rFonts w:ascii="ArialUpR;Times New Roman" w:hAnsi="ArialUpR;Times New Roman" w:cs="ArialUpR;Times New Roman"/>
      <w:b/>
      <w:sz w:val="32"/>
      <w:lang w:val="en-AU"/>
    </w:rPr>
  </w:style>
  <w:style w:type="character" w:styleId="Bodytext6">
    <w:name w:val="Body text (6)_"/>
    <w:qFormat/>
    <w:rPr>
      <w:rFonts w:ascii="Calibri" w:hAnsi="Calibri" w:eastAsia="Calibri" w:cs="Calibri"/>
      <w:i/>
      <w:iCs/>
      <w:shd w:fill="FFFFFF" w:val="clear"/>
    </w:rPr>
  </w:style>
  <w:style w:type="character" w:styleId="Bodytext5">
    <w:name w:val="Body text (5)_"/>
    <w:qFormat/>
    <w:rPr>
      <w:rFonts w:ascii="Calibri" w:hAnsi="Calibri" w:eastAsia="Calibri" w:cs="Calibri"/>
      <w:shd w:fill="FFFFFF" w:val="clear"/>
    </w:rPr>
  </w:style>
  <w:style w:type="character" w:styleId="Bodytext8Exact">
    <w:name w:val="Body text (8) Exact"/>
    <w:qFormat/>
    <w:rPr>
      <w:rFonts w:ascii="Calibri" w:hAnsi="Calibri" w:eastAsia="Calibri" w:cs="Calibri"/>
      <w:sz w:val="26"/>
      <w:szCs w:val="26"/>
      <w:shd w:fill="FFFFFF" w:val="clear"/>
    </w:rPr>
  </w:style>
  <w:style w:type="character" w:styleId="Heading1">
    <w:name w:val="Heading #1_"/>
    <w:qFormat/>
    <w:rPr>
      <w:rFonts w:ascii="Calibri" w:hAnsi="Calibri" w:eastAsia="Calibri" w:cs="Calibri"/>
      <w:b/>
      <w:bCs/>
      <w:sz w:val="32"/>
      <w:szCs w:val="32"/>
      <w:shd w:fill="FFFFFF" w:val="clear"/>
    </w:rPr>
  </w:style>
  <w:style w:type="character" w:styleId="Bodytext2">
    <w:name w:val="Body text (2)_"/>
    <w:qFormat/>
    <w:rPr>
      <w:rFonts w:ascii="Calibri" w:hAnsi="Calibri" w:eastAsia="Calibri" w:cs="Calibri"/>
      <w:shd w:fill="FFFFFF" w:val="clear"/>
    </w:rPr>
  </w:style>
  <w:style w:type="character" w:styleId="Bodytext7">
    <w:name w:val="Body text (7)_"/>
    <w:qFormat/>
    <w:rPr>
      <w:rFonts w:ascii="Calibri" w:hAnsi="Calibri" w:eastAsia="Calibri" w:cs="Calibri"/>
      <w:spacing w:val="-10"/>
      <w:sz w:val="26"/>
      <w:szCs w:val="26"/>
      <w:shd w:fill="FFFFFF" w:val="clear"/>
    </w:rPr>
  </w:style>
  <w:style w:type="character" w:styleId="Bodytext4Exact">
    <w:name w:val="Body text (4) Exact"/>
    <w:qFormat/>
    <w:rPr>
      <w:rFonts w:ascii="Calibri" w:hAnsi="Calibri" w:eastAsia="Calibri" w:cs="Calibri"/>
      <w:b/>
      <w:bCs/>
      <w:i w:val="false"/>
      <w:iCs w:val="false"/>
      <w:caps w:val="false"/>
      <w:smallCaps w:val="false"/>
      <w:strike w:val="false"/>
      <w:dstrike w:val="false"/>
      <w:sz w:val="24"/>
      <w:szCs w:val="24"/>
      <w:u w:val="none"/>
    </w:rPr>
  </w:style>
  <w:style w:type="character" w:styleId="Bodytext6Exact">
    <w:name w:val="Body text (6) Exact"/>
    <w:qFormat/>
    <w:rPr>
      <w:rFonts w:ascii="Calibri" w:hAnsi="Calibri" w:eastAsia="Calibri" w:cs="Calibri"/>
      <w:b w:val="false"/>
      <w:bCs w:val="false"/>
      <w:i/>
      <w:iCs/>
      <w:caps w:val="false"/>
      <w:smallCaps w:val="false"/>
      <w:strike w:val="false"/>
      <w:dstrike w:val="false"/>
      <w:sz w:val="24"/>
      <w:szCs w:val="24"/>
      <w:u w:val="none"/>
    </w:rPr>
  </w:style>
  <w:style w:type="character" w:styleId="Bodytext5Exact">
    <w:name w:val="Body text (5) Exact"/>
    <w:qFormat/>
    <w:rPr>
      <w:rFonts w:ascii="Calibri" w:hAnsi="Calibri" w:eastAsia="Calibri" w:cs="Calibri"/>
      <w:b w:val="false"/>
      <w:bCs w:val="false"/>
      <w:i w:val="false"/>
      <w:iCs w:val="false"/>
      <w:caps w:val="false"/>
      <w:smallCaps w:val="false"/>
      <w:strike w:val="false"/>
      <w:dstrike w:val="false"/>
      <w:sz w:val="24"/>
      <w:szCs w:val="24"/>
      <w:u w:val="none"/>
    </w:rPr>
  </w:style>
  <w:style w:type="character" w:styleId="Bodytext4">
    <w:name w:val="Body text (4)"/>
    <w:qFormat/>
    <w:rPr>
      <w:rFonts w:ascii="Calibri" w:hAnsi="Calibri" w:eastAsia="Calibri" w:cs="Calibri"/>
      <w:b/>
      <w:bCs/>
      <w:i w:val="false"/>
      <w:iCs w:val="false"/>
      <w:caps w:val="false"/>
      <w:smallCaps w:val="false"/>
      <w:color w:val="000000"/>
      <w:spacing w:val="0"/>
      <w:w w:val="100"/>
      <w:position w:val="0"/>
      <w:sz w:val="24"/>
      <w:sz w:val="24"/>
      <w:szCs w:val="24"/>
      <w:u w:val="single"/>
      <w:vertAlign w:val="baseline"/>
      <w:lang w:val="ro-RO" w:bidi="ro-RO"/>
    </w:rPr>
  </w:style>
  <w:style w:type="character" w:styleId="Bodytext2Italic">
    <w:name w:val="Body text (2) + Italic"/>
    <w:qFormat/>
    <w:rPr>
      <w:rFonts w:ascii="Calibri" w:hAnsi="Calibri" w:eastAsia="Calibri" w:cs="Calibri"/>
      <w:i/>
      <w:iCs/>
      <w:color w:val="000000"/>
      <w:spacing w:val="0"/>
      <w:w w:val="100"/>
      <w:position w:val="0"/>
      <w:sz w:val="24"/>
      <w:shd w:fill="FFFFFF" w:val="clear"/>
      <w:vertAlign w:val="baseline"/>
      <w:lang w:val="ro-RO" w:bidi="ro-RO"/>
    </w:rPr>
  </w:style>
  <w:style w:type="character" w:styleId="Bodytext6NotItalic">
    <w:name w:val="Body text (6) + Not Italic"/>
    <w:qFormat/>
    <w:rPr>
      <w:rFonts w:ascii="Calibri" w:hAnsi="Calibri" w:eastAsia="Calibri" w:cs="Calibri"/>
      <w:i/>
      <w:iCs/>
      <w:color w:val="000000"/>
      <w:spacing w:val="0"/>
      <w:w w:val="100"/>
      <w:position w:val="0"/>
      <w:sz w:val="24"/>
      <w:shd w:fill="FFFFFF" w:val="clear"/>
      <w:vertAlign w:val="baseline"/>
    </w:rPr>
  </w:style>
  <w:style w:type="character" w:styleId="FooterChar">
    <w:name w:val="Footer Char"/>
    <w:qFormat/>
    <w:rPr>
      <w:rFonts w:ascii="Arial" w:hAnsi="Arial" w:cs="Arial"/>
      <w:sz w:val="24"/>
      <w:szCs w:val="24"/>
      <w:lang w:val="ro-RO"/>
    </w:rPr>
  </w:style>
  <w:style w:type="character" w:styleId="EndnoteTextChar">
    <w:name w:val="Endnote Text Char"/>
    <w:qFormat/>
    <w:rPr>
      <w:rFonts w:ascii="Arial" w:hAnsi="Arial" w:cs="Arial"/>
      <w:lang w:val="ro-RO"/>
    </w:rPr>
  </w:style>
  <w:style w:type="character" w:styleId="EndnoteCharacters">
    <w:name w:val="Endnote Characters"/>
    <w:qFormat/>
    <w:rPr>
      <w:vertAlign w:val="superscript"/>
    </w:rPr>
  </w:style>
  <w:style w:type="character" w:styleId="FontStyle25">
    <w:name w:val="Font Style25"/>
    <w:qFormat/>
    <w:rPr>
      <w:rFonts w:ascii="Times New Roman" w:hAnsi="Times New Roman" w:cs="Times New Roman"/>
      <w:b/>
      <w:bCs/>
      <w:color w:val="000000"/>
      <w:sz w:val="22"/>
      <w:szCs w:val="22"/>
    </w:rPr>
  </w:style>
  <w:style w:type="character" w:styleId="FontStyle11">
    <w:name w:val="Font Style11"/>
    <w:qFormat/>
    <w:rPr>
      <w:rFonts w:ascii="Times New Roman" w:hAnsi="Times New Roman" w:cs="Times New Roman"/>
      <w:b/>
      <w:bCs/>
      <w:sz w:val="20"/>
      <w:szCs w:val="20"/>
    </w:rPr>
  </w:style>
  <w:style w:type="character" w:styleId="FontStyle12">
    <w:name w:val="Font Style12"/>
    <w:qFormat/>
    <w:rPr>
      <w:rFonts w:ascii="Times New Roman" w:hAnsi="Times New Roman" w:cs="Times New Roman"/>
      <w:sz w:val="20"/>
      <w:szCs w:val="20"/>
    </w:rPr>
  </w:style>
  <w:style w:type="character" w:styleId="FootnoteNotBoldNotItalic">
    <w:name w:val="Footnote + Not Bold;Not Italic"/>
    <w:qFormat/>
    <w:rPr>
      <w:rFonts w:ascii="Cambria" w:hAnsi="Cambria" w:eastAsia="Cambria" w:cs="Cambria"/>
      <w:b/>
      <w:bCs/>
      <w:i/>
      <w:iCs/>
      <w:caps w:val="false"/>
      <w:smallCaps w:val="false"/>
      <w:strike w:val="false"/>
      <w:dstrike w:val="false"/>
      <w:color w:val="000000"/>
      <w:spacing w:val="0"/>
      <w:w w:val="100"/>
      <w:position w:val="0"/>
      <w:sz w:val="19"/>
      <w:sz w:val="19"/>
      <w:szCs w:val="19"/>
      <w:u w:val="none"/>
      <w:vertAlign w:val="baseline"/>
      <w:lang w:val="ro-RO" w:bidi="ro-RO"/>
    </w:rPr>
  </w:style>
  <w:style w:type="character" w:styleId="Bodytext2Bold">
    <w:name w:val="Body text (2) + Bold"/>
    <w:qFormat/>
    <w:rPr>
      <w:rFonts w:ascii="Cambria" w:hAnsi="Cambria" w:eastAsia="Cambria" w:cs="Cambria"/>
      <w:b/>
      <w:bCs/>
      <w:i w:val="false"/>
      <w:iCs w:val="false"/>
      <w:caps w:val="false"/>
      <w:smallCaps w:val="false"/>
      <w:strike w:val="false"/>
      <w:dstrike w:val="false"/>
      <w:color w:val="000000"/>
      <w:spacing w:val="0"/>
      <w:w w:val="100"/>
      <w:position w:val="0"/>
      <w:sz w:val="24"/>
      <w:sz w:val="24"/>
      <w:szCs w:val="24"/>
      <w:u w:val="none"/>
      <w:vertAlign w:val="baseline"/>
      <w:lang w:val="ro-RO" w:bidi="ro-RO"/>
    </w:rPr>
  </w:style>
  <w:style w:type="character" w:styleId="Tableofcontents">
    <w:name w:val="Table of contents"/>
    <w:qFormat/>
    <w:rPr>
      <w:rFonts w:ascii="Cambria" w:hAnsi="Cambria" w:eastAsia="Cambria" w:cs="Cambria"/>
      <w:b/>
      <w:bCs/>
      <w:i w:val="false"/>
      <w:iCs w:val="false"/>
      <w:caps w:val="false"/>
      <w:smallCaps w:val="false"/>
      <w:strike w:val="false"/>
      <w:dstrike w:val="false"/>
      <w:color w:val="000000"/>
      <w:spacing w:val="0"/>
      <w:w w:val="100"/>
      <w:position w:val="0"/>
      <w:sz w:val="24"/>
      <w:sz w:val="24"/>
      <w:szCs w:val="24"/>
      <w:u w:val="none"/>
      <w:vertAlign w:val="baseline"/>
      <w:lang w:val="ro-RO" w:bidi="ro-RO"/>
    </w:rPr>
  </w:style>
  <w:style w:type="character" w:styleId="FootnoteTextChar">
    <w:name w:val="Footnote Text Char"/>
    <w:qFormat/>
    <w:rPr>
      <w:rFonts w:ascii="Arial" w:hAnsi="Arial" w:cs="Arial"/>
      <w:lang w:val="ro-RO"/>
    </w:rPr>
  </w:style>
  <w:style w:type="character" w:styleId="FootnoteCharacters">
    <w:name w:val="Footnote Characters"/>
    <w:qFormat/>
    <w:rPr>
      <w:vertAlign w:val="superscript"/>
    </w:rPr>
  </w:style>
  <w:style w:type="character" w:styleId="ListParagraphChar">
    <w:name w:val="List Paragraph Char"/>
    <w:qFormat/>
    <w:rPr>
      <w:rFonts w:ascii="Calibri" w:hAnsi="Calibri" w:eastAsia="Calibri" w:cs="Calibri"/>
      <w:sz w:val="22"/>
      <w:szCs w:val="22"/>
    </w:rPr>
  </w:style>
  <w:style w:type="character" w:styleId="FootnoteAnchor">
    <w:name w:val="Footnote Anchor"/>
    <w:rPr>
      <w:vertAlign w:val="superscript"/>
    </w:rPr>
  </w:style>
  <w:style w:type="character" w:styleId="EndnoteAnchor">
    <w:name w:val="Endnote Anchor"/>
    <w:rPr>
      <w:vertAlign w:val="superscrip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jc w:val="center"/>
    </w:pPr>
    <w:rPr>
      <w:rFonts w:ascii="Times New Roman" w:hAnsi="Times New Roman" w:cs="Times New Roman"/>
    </w:rPr>
  </w:style>
  <w:style w:type="paragraph" w:styleId="List">
    <w:name w:val="List"/>
    <w:basedOn w:val="TextBody"/>
    <w:pPr/>
    <w:rPr>
      <w:rFonts w:ascii="Times New Roman" w:hAnsi="Times New Roman"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styleId="Index">
    <w:name w:val="Index"/>
    <w:basedOn w:val="Normal"/>
    <w:qFormat/>
    <w:pPr>
      <w:suppressLineNumbers/>
    </w:pPr>
    <w:rPr>
      <w:rFonts w:ascii="Arial" w:hAnsi="Arial" w:cs="Lohit Devanagari"/>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tabs>
        <w:tab w:val="clear" w:pos="709"/>
        <w:tab w:val="center" w:pos="4153" w:leader="none"/>
        <w:tab w:val="right" w:pos="8306" w:leader="none"/>
      </w:tabs>
    </w:pPr>
    <w:rPr>
      <w:rFonts w:cs="Times New Roman"/>
    </w:rPr>
  </w:style>
  <w:style w:type="paragraph" w:styleId="Footer">
    <w:name w:val="Footer"/>
    <w:basedOn w:val="Normal"/>
    <w:pPr>
      <w:tabs>
        <w:tab w:val="clear" w:pos="709"/>
        <w:tab w:val="center" w:pos="4153" w:leader="none"/>
        <w:tab w:val="right" w:pos="8306" w:leader="none"/>
      </w:tabs>
    </w:pPr>
    <w:rPr>
      <w:rFonts w:cs="Times New Roman"/>
    </w:rPr>
  </w:style>
  <w:style w:type="paragraph" w:styleId="Yiv4107034625msonormal">
    <w:name w:val="yiv4107034625msonormal"/>
    <w:basedOn w:val="Normal"/>
    <w:qFormat/>
    <w:pPr>
      <w:spacing w:before="280" w:after="280"/>
    </w:pPr>
    <w:rPr>
      <w:lang w:val="ro-RO"/>
    </w:rPr>
  </w:style>
  <w:style w:type="paragraph" w:styleId="NormalWeb">
    <w:name w:val="Normal (Web)"/>
    <w:basedOn w:val="Normal"/>
    <w:qFormat/>
    <w:pPr>
      <w:spacing w:before="240" w:after="240"/>
    </w:pPr>
    <w:rPr>
      <w:lang w:val="ro-RO"/>
    </w:rPr>
  </w:style>
  <w:style w:type="paragraph" w:styleId="PlainText">
    <w:name w:val="Plain Text"/>
    <w:basedOn w:val="Normal"/>
    <w:qFormat/>
    <w:pPr/>
    <w:rPr>
      <w:rFonts w:ascii="Museo 500;Times New Roman" w:hAnsi="Museo 500;Times New Roman" w:cs="Times New Roman"/>
      <w:sz w:val="22"/>
      <w:szCs w:val="22"/>
    </w:rPr>
  </w:style>
  <w:style w:type="paragraph" w:styleId="Default">
    <w:name w:val="Default"/>
    <w:qFormat/>
    <w:pPr>
      <w:widowControl/>
      <w:autoSpaceDE w:val="false"/>
      <w:bidi w:val="0"/>
    </w:pPr>
    <w:rPr>
      <w:rFonts w:ascii="Arial" w:hAnsi="Arial" w:eastAsia="Calibri" w:cs="Arial"/>
      <w:color w:val="000000"/>
      <w:sz w:val="24"/>
      <w:szCs w:val="24"/>
      <w:lang w:val="ro-RO" w:bidi="ar-SA" w:eastAsia="zh-CN"/>
    </w:rPr>
  </w:style>
  <w:style w:type="paragraph" w:styleId="ListParagraph">
    <w:name w:val="List Paragraph"/>
    <w:basedOn w:val="Normal"/>
    <w:qFormat/>
    <w:pPr>
      <w:spacing w:lineRule="auto" w:line="276" w:before="0" w:after="200"/>
      <w:ind w:left="720" w:hanging="0"/>
      <w:contextualSpacing/>
    </w:pPr>
    <w:rPr>
      <w:rFonts w:ascii="Calibri" w:hAnsi="Calibri" w:eastAsia="Calibri" w:cs="Times New Roman"/>
      <w:sz w:val="22"/>
      <w:szCs w:val="22"/>
    </w:rPr>
  </w:style>
  <w:style w:type="paragraph" w:styleId="BalloonText">
    <w:name w:val="Balloon Text"/>
    <w:basedOn w:val="Normal"/>
    <w:qFormat/>
    <w:pPr/>
    <w:rPr>
      <w:rFonts w:ascii="Tahoma" w:hAnsi="Tahoma" w:cs="Times New Roman"/>
      <w:sz w:val="16"/>
      <w:szCs w:val="16"/>
    </w:rPr>
  </w:style>
  <w:style w:type="paragraph" w:styleId="BodyText21">
    <w:name w:val="Body Text 2"/>
    <w:basedOn w:val="Normal"/>
    <w:qFormat/>
    <w:pPr>
      <w:spacing w:lineRule="auto" w:line="480" w:before="0" w:after="120"/>
    </w:pPr>
    <w:rPr>
      <w:rFonts w:cs="Times New Roman"/>
    </w:rPr>
  </w:style>
  <w:style w:type="paragraph" w:styleId="Bodytext61">
    <w:name w:val="Body text (6)"/>
    <w:basedOn w:val="Normal"/>
    <w:qFormat/>
    <w:pPr>
      <w:widowControl w:val="false"/>
      <w:shd w:fill="FFFFFF" w:val="clear"/>
      <w:spacing w:lineRule="exact" w:line="436"/>
      <w:jc w:val="both"/>
    </w:pPr>
    <w:rPr>
      <w:rFonts w:ascii="Calibri" w:hAnsi="Calibri" w:eastAsia="Calibri" w:cs="Times New Roman"/>
      <w:i/>
      <w:iCs/>
      <w:sz w:val="20"/>
      <w:szCs w:val="20"/>
      <w:lang w:val="en-US"/>
    </w:rPr>
  </w:style>
  <w:style w:type="paragraph" w:styleId="Bodytext51">
    <w:name w:val="Body text (5)"/>
    <w:basedOn w:val="Normal"/>
    <w:qFormat/>
    <w:pPr>
      <w:widowControl w:val="false"/>
      <w:shd w:fill="FFFFFF" w:val="clear"/>
      <w:spacing w:lineRule="auto" w:before="180" w:after="180"/>
      <w:jc w:val="both"/>
    </w:pPr>
    <w:rPr>
      <w:rFonts w:ascii="Calibri" w:hAnsi="Calibri" w:eastAsia="Calibri" w:cs="Times New Roman"/>
      <w:sz w:val="20"/>
      <w:szCs w:val="20"/>
      <w:lang w:val="en-US"/>
    </w:rPr>
  </w:style>
  <w:style w:type="paragraph" w:styleId="Bodytext8">
    <w:name w:val="Body text (8)"/>
    <w:basedOn w:val="Normal"/>
    <w:qFormat/>
    <w:pPr>
      <w:widowControl w:val="false"/>
      <w:shd w:fill="FFFFFF" w:val="clear"/>
      <w:spacing w:lineRule="auto"/>
    </w:pPr>
    <w:rPr>
      <w:rFonts w:ascii="Calibri" w:hAnsi="Calibri" w:eastAsia="Calibri" w:cs="Times New Roman"/>
      <w:sz w:val="26"/>
      <w:szCs w:val="26"/>
      <w:lang w:val="en-US"/>
    </w:rPr>
  </w:style>
  <w:style w:type="paragraph" w:styleId="Heading11">
    <w:name w:val="Heading #1"/>
    <w:basedOn w:val="Normal"/>
    <w:qFormat/>
    <w:pPr>
      <w:widowControl w:val="false"/>
      <w:shd w:fill="FFFFFF" w:val="clear"/>
      <w:spacing w:lineRule="auto" w:before="960" w:after="420"/>
      <w:jc w:val="center"/>
      <w:outlineLvl w:val="0"/>
    </w:pPr>
    <w:rPr>
      <w:rFonts w:ascii="Calibri" w:hAnsi="Calibri" w:eastAsia="Calibri" w:cs="Times New Roman"/>
      <w:b/>
      <w:bCs/>
      <w:sz w:val="32"/>
      <w:szCs w:val="32"/>
      <w:lang w:val="en-US"/>
    </w:rPr>
  </w:style>
  <w:style w:type="paragraph" w:styleId="Bodytext22">
    <w:name w:val="Body text (2)"/>
    <w:basedOn w:val="Normal"/>
    <w:qFormat/>
    <w:pPr>
      <w:widowControl w:val="false"/>
      <w:shd w:fill="FFFFFF" w:val="clear"/>
      <w:spacing w:lineRule="exact" w:line="436" w:before="420" w:after="0"/>
      <w:jc w:val="both"/>
    </w:pPr>
    <w:rPr>
      <w:rFonts w:ascii="Calibri" w:hAnsi="Calibri" w:eastAsia="Calibri" w:cs="Times New Roman"/>
      <w:sz w:val="20"/>
      <w:szCs w:val="20"/>
      <w:lang w:val="en-US"/>
    </w:rPr>
  </w:style>
  <w:style w:type="paragraph" w:styleId="Bodytext71">
    <w:name w:val="Body text (7)"/>
    <w:basedOn w:val="Normal"/>
    <w:qFormat/>
    <w:pPr>
      <w:widowControl w:val="false"/>
      <w:shd w:fill="FFFFFF" w:val="clear"/>
      <w:spacing w:lineRule="auto" w:before="660" w:after="180"/>
      <w:jc w:val="both"/>
    </w:pPr>
    <w:rPr>
      <w:rFonts w:ascii="Calibri" w:hAnsi="Calibri" w:eastAsia="Calibri" w:cs="Times New Roman"/>
      <w:spacing w:val="-10"/>
      <w:sz w:val="26"/>
      <w:szCs w:val="26"/>
      <w:lang w:val="en-US"/>
    </w:rPr>
  </w:style>
  <w:style w:type="paragraph" w:styleId="Endnote">
    <w:name w:val="Endnote Text"/>
    <w:basedOn w:val="Normal"/>
    <w:pPr/>
    <w:rPr>
      <w:rFonts w:cs="Times New Roman"/>
      <w:sz w:val="20"/>
      <w:szCs w:val="20"/>
    </w:rPr>
  </w:style>
  <w:style w:type="paragraph" w:styleId="Style13">
    <w:name w:val="Style1"/>
    <w:basedOn w:val="Normal"/>
    <w:qFormat/>
    <w:pPr>
      <w:widowControl w:val="false"/>
      <w:autoSpaceDE w:val="false"/>
    </w:pPr>
    <w:rPr>
      <w:rFonts w:ascii="Times New Roman" w:hAnsi="Times New Roman" w:cs="Times New Roman"/>
      <w:lang w:val="en-US"/>
    </w:rPr>
  </w:style>
  <w:style w:type="paragraph" w:styleId="Style21">
    <w:name w:val="Style2"/>
    <w:basedOn w:val="Normal"/>
    <w:qFormat/>
    <w:pPr>
      <w:widowControl w:val="false"/>
      <w:autoSpaceDE w:val="false"/>
    </w:pPr>
    <w:rPr>
      <w:rFonts w:ascii="Times New Roman" w:hAnsi="Times New Roman" w:cs="Times New Roman"/>
      <w:lang w:val="en-US"/>
    </w:rPr>
  </w:style>
  <w:style w:type="paragraph" w:styleId="Style41">
    <w:name w:val="Style4"/>
    <w:basedOn w:val="Normal"/>
    <w:qFormat/>
    <w:pPr>
      <w:widowControl w:val="false"/>
      <w:autoSpaceDE w:val="false"/>
      <w:spacing w:lineRule="exact" w:line="418"/>
    </w:pPr>
    <w:rPr>
      <w:rFonts w:ascii="Times New Roman" w:hAnsi="Times New Roman" w:cs="Times New Roman"/>
      <w:lang w:val="en-US"/>
    </w:rPr>
  </w:style>
  <w:style w:type="paragraph" w:styleId="Style51">
    <w:name w:val="Style5"/>
    <w:basedOn w:val="Normal"/>
    <w:qFormat/>
    <w:pPr>
      <w:widowControl w:val="false"/>
      <w:autoSpaceDE w:val="false"/>
      <w:spacing w:lineRule="exact" w:line="835"/>
    </w:pPr>
    <w:rPr>
      <w:rFonts w:ascii="Times New Roman" w:hAnsi="Times New Roman" w:cs="Times New Roman"/>
      <w:lang w:val="en-US"/>
    </w:rPr>
  </w:style>
  <w:style w:type="paragraph" w:styleId="Style61">
    <w:name w:val="Style6"/>
    <w:basedOn w:val="Normal"/>
    <w:qFormat/>
    <w:pPr>
      <w:widowControl w:val="false"/>
      <w:autoSpaceDE w:val="false"/>
      <w:spacing w:lineRule="exact" w:line="298"/>
      <w:jc w:val="both"/>
    </w:pPr>
    <w:rPr>
      <w:rFonts w:ascii="Times New Roman" w:hAnsi="Times New Roman" w:cs="Times New Roman"/>
      <w:lang w:val="en-US"/>
    </w:rPr>
  </w:style>
  <w:style w:type="paragraph" w:styleId="Style71">
    <w:name w:val="Style7"/>
    <w:basedOn w:val="Normal"/>
    <w:qFormat/>
    <w:pPr>
      <w:widowControl w:val="false"/>
      <w:autoSpaceDE w:val="false"/>
      <w:spacing w:lineRule="exact" w:line="302"/>
      <w:ind w:firstLine="403"/>
      <w:jc w:val="both"/>
    </w:pPr>
    <w:rPr>
      <w:rFonts w:ascii="Times New Roman" w:hAnsi="Times New Roman" w:cs="Times New Roman"/>
      <w:lang w:val="en-US"/>
    </w:rPr>
  </w:style>
  <w:style w:type="paragraph" w:styleId="Footnote">
    <w:name w:val="Footnote Text"/>
    <w:basedOn w:val="Normal"/>
    <w:pPr/>
    <w:rPr>
      <w:rFonts w:cs="Times New Roman"/>
      <w:sz w:val="20"/>
      <w:szCs w:val="20"/>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docProps/app.xml><?xml version="1.0" encoding="utf-8"?>
<Properties xmlns="http://schemas.openxmlformats.org/officeDocument/2006/extended-properties" xmlns:vt="http://schemas.openxmlformats.org/officeDocument/2006/docPropsVTypes">
  <Template>Normal_x0000_</Template>
  <TotalTime>6</TotalTime>
  <Application>LibreOffice/6.4.6.2$Linux_X86_64 LibreOffice_project/40$Build-2</Application>
  <Pages>4</Pages>
  <Words>1232</Words>
  <Characters>6992</Characters>
  <CharactersWithSpaces>8115</CharactersWithSpaces>
  <Paragraphs>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2021-03-18T14:16:00Z</dcterms:created>
  <dc:creator>Popescu</dc:creator>
  <dc:description/>
  <cp:keywords/>
  <dc:language>en-US</dc:language>
  <cp:lastModifiedBy>CCI Braila</cp:lastModifiedBy>
  <cp:lastPrinted>2020-09-24T11:24:00Z</cp:lastPrinted>
  <dcterms:modified xsi:type="dcterms:W3CDTF">2021-03-18T14:22:00Z</dcterms:modified>
  <cp:revision>6</cp:revision>
  <dc:subject/>
  <dc:title>Invitatie</dc:title>
</cp:coreProperties>
</file>